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6942FA9E" w:rsidR="008D77F2" w:rsidRPr="008D77F2" w:rsidRDefault="001E5E50" w:rsidP="001E5E5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TU – 2024/020-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>
        <w:rPr>
          <w:rFonts w:ascii="Times New Roman" w:hAnsi="Times New Roman" w:cs="Times New Roman"/>
          <w:bCs/>
          <w:sz w:val="24"/>
          <w:szCs w:val="20"/>
        </w:rPr>
        <w:t>-009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1A65D6D1" w14:textId="7FAB82DB" w:rsidR="001E5E50" w:rsidRPr="001E5E50" w:rsidRDefault="001E5E50" w:rsidP="001E5E5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U Z N E S E N I E   č. 69/2024</w:t>
      </w:r>
    </w:p>
    <w:p w14:paraId="6DEC6058" w14:textId="77777777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19. rokovania  Obecného zastupiteľstva Obce Tuhrina</w:t>
      </w:r>
    </w:p>
    <w:p w14:paraId="194BEFBE" w14:textId="23D999C2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06F56CB9" w14:textId="39A4CA8A" w:rsidR="00F71D4D" w:rsidRPr="001E5E50" w:rsidRDefault="001E5E50" w:rsidP="001E5E5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1058B44D" w14:textId="77777777" w:rsidR="00570B53" w:rsidRPr="001E5E50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972DD" w14:textId="15D1ED73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 19. zasadnutia OZ</w:t>
      </w:r>
    </w:p>
    <w:p w14:paraId="7F684845" w14:textId="56D22792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AF024" w14:textId="313FCABD" w:rsidR="003D1474" w:rsidRPr="008A4B96" w:rsidRDefault="003D1474" w:rsidP="008A4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597D8C80" w14:textId="77516F7A" w:rsidR="001E5E50" w:rsidRPr="001E5E50" w:rsidRDefault="003D1474" w:rsidP="008A4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8038B61" w14:textId="3554E4FD" w:rsidR="003D1474" w:rsidRPr="001E5E50" w:rsidRDefault="003D1474" w:rsidP="003D1474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 19. zasadnutia OZ.</w:t>
      </w:r>
    </w:p>
    <w:p w14:paraId="4178124F" w14:textId="41CE3948" w:rsidR="003D1474" w:rsidRPr="001E5E50" w:rsidRDefault="003D1474" w:rsidP="003D1474">
      <w:pPr>
        <w:spacing w:line="360" w:lineRule="auto"/>
        <w:rPr>
          <w:i/>
          <w:sz w:val="24"/>
          <w:szCs w:val="24"/>
        </w:rPr>
      </w:pPr>
    </w:p>
    <w:p w14:paraId="102D3C42" w14:textId="567F0504" w:rsidR="003D1474" w:rsidRPr="001E5E50" w:rsidRDefault="001E5E50" w:rsidP="003D14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H</w:t>
      </w:r>
      <w:r w:rsidR="003D1474" w:rsidRPr="001E5E50">
        <w:rPr>
          <w:rFonts w:ascii="Times New Roman" w:hAnsi="Times New Roman" w:cs="Times New Roman"/>
          <w:b/>
          <w:sz w:val="24"/>
          <w:szCs w:val="24"/>
        </w:rPr>
        <w:t>lasovanie:</w:t>
      </w:r>
      <w:r w:rsidR="003D1474" w:rsidRPr="001E5E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3D1474" w:rsidRPr="001E5E50" w14:paraId="1043E2C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5A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71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45C8" w14:textId="77777777" w:rsidR="003D1474" w:rsidRPr="001E5E50" w:rsidRDefault="003D1474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Peter Ferko, Michal Svat, František Ferko, Ľubomír </w:t>
            </w:r>
            <w:proofErr w:type="spellStart"/>
            <w:r w:rsidRPr="001E5E50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3D1474" w:rsidRPr="001E5E50" w14:paraId="0D60B8B2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921B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BA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30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7536055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883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E1C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698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6C1A9DE3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06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927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AD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23C9205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7B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0D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4E9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F24522A" w14:textId="060FCEA5" w:rsidR="003D1474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sz w:val="24"/>
          <w:szCs w:val="24"/>
        </w:rPr>
        <w:t xml:space="preserve">    </w:t>
      </w:r>
    </w:p>
    <w:p w14:paraId="466BA064" w14:textId="77777777" w:rsidR="001E5E50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37D0A78F" w14:textId="77777777" w:rsidR="001E5E50" w:rsidRPr="001E5E50" w:rsidRDefault="001E5E50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99DD2" w14:textId="77777777" w:rsid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3834131" w14:textId="77777777" w:rsidR="008A4B96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80D81" w14:textId="77777777" w:rsidR="008A4B96" w:rsidRPr="001E5E50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9915D" w14:textId="77777777" w:rsidR="001E5E50" w:rsidRP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29325" w14:textId="53EACD62" w:rsidR="001E5E50" w:rsidRPr="001E5E50" w:rsidRDefault="00D041A1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3D1474"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1E5E50"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36B2B0A4" w14:textId="21617A31" w:rsidR="008A4B96" w:rsidRPr="008A4B96" w:rsidRDefault="001E5E50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222DA6F" w14:textId="77777777" w:rsidR="008A4B96" w:rsidRDefault="008A4B96" w:rsidP="003D1474">
      <w:pPr>
        <w:spacing w:line="360" w:lineRule="auto"/>
        <w:jc w:val="both"/>
        <w:rPr>
          <w:iCs/>
          <w:sz w:val="24"/>
          <w:szCs w:val="24"/>
        </w:rPr>
      </w:pPr>
    </w:p>
    <w:p w14:paraId="2650B5BE" w14:textId="002F5029" w:rsidR="003D1474" w:rsidRPr="001E5E50" w:rsidRDefault="001E5E50" w:rsidP="003D1474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599CB1F9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6B648C0D" w14:textId="4AA0249F" w:rsidR="008A4B96" w:rsidRPr="001E5E50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0B5DAC76" w14:textId="77777777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19. rokovania  Obecného zastupiteľstva Obce Tuhrina</w:t>
      </w:r>
    </w:p>
    <w:p w14:paraId="23ADE756" w14:textId="77777777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6190981F" w14:textId="77777777" w:rsidR="008A4B96" w:rsidRPr="001E5E50" w:rsidRDefault="008A4B96" w:rsidP="008A4B9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71CDEAE5" w14:textId="77777777" w:rsidR="003D1474" w:rsidRDefault="003D147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45F6" w14:textId="41C377AB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B96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Pr="008A4B96">
        <w:rPr>
          <w:rFonts w:ascii="Times New Roman" w:hAnsi="Times New Roman" w:cs="Times New Roman"/>
          <w:b/>
          <w:sz w:val="24"/>
          <w:szCs w:val="24"/>
          <w:u w:val="single"/>
        </w:rPr>
        <w:t>4 Návrh rozpočtu obce Tuhrina na rok 2025</w:t>
      </w:r>
    </w:p>
    <w:p w14:paraId="5B433774" w14:textId="0BEBBA3F" w:rsidR="008A4B96" w:rsidRPr="008A4B96" w:rsidRDefault="008A4B96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sz w:val="24"/>
          <w:szCs w:val="24"/>
        </w:rPr>
        <w:t>Obecné zastupiteľstvo Obce Tuhrina v súlade s § 11 ods. 4 písm. b) zákona č. 369/1990 Zb. o obecnom zradení v z. n. p. a § 10 zákona č. 583/2004 Z. z. rozpočtových pravidlách územnej samosprávy v z. n. p.</w:t>
      </w:r>
    </w:p>
    <w:p w14:paraId="3CB347EA" w14:textId="77777777" w:rsidR="008A4B96" w:rsidRPr="008A4B96" w:rsidRDefault="008A4B96" w:rsidP="008A4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a) schvaľuje</w:t>
      </w:r>
    </w:p>
    <w:p w14:paraId="44DAAFA1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</w:rPr>
      </w:pPr>
      <w:r w:rsidRPr="008A4B96">
        <w:rPr>
          <w:rFonts w:eastAsiaTheme="minorHAnsi" w:cstheme="minorBidi"/>
        </w:rPr>
        <w:t>1. Rozpočet obce Tuhrina na rok 2025</w:t>
      </w:r>
    </w:p>
    <w:p w14:paraId="1490823E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</w:pPr>
      <w:r w:rsidRPr="008A4B96">
        <w:t xml:space="preserve">S celkovými príjmami vo výške: </w:t>
      </w:r>
      <w:r w:rsidRPr="008A4B96">
        <w:rPr>
          <w:b/>
        </w:rPr>
        <w:t>1 530 868  €</w:t>
      </w:r>
    </w:p>
    <w:p w14:paraId="06E13455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 w:rsidRPr="008A4B96">
        <w:t xml:space="preserve">S celkovými výdavkami vo výške: </w:t>
      </w:r>
      <w:r w:rsidRPr="008A4B96">
        <w:rPr>
          <w:b/>
        </w:rPr>
        <w:t>1 528 238 €</w:t>
      </w:r>
    </w:p>
    <w:p w14:paraId="08A15003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F87403C" w14:textId="77777777" w:rsidR="008A4B96" w:rsidRPr="008A4B96" w:rsidRDefault="008A4B96" w:rsidP="008A4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sz w:val="24"/>
          <w:szCs w:val="24"/>
        </w:rPr>
        <w:t xml:space="preserve">a) </w:t>
      </w:r>
      <w:r w:rsidRPr="008A4B96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72B7F9A9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</w:pPr>
      <w:r w:rsidRPr="008A4B96">
        <w:t>Rozpočet Obce Tuhrina na roky 2026-2027 (výhľadový)</w:t>
      </w:r>
    </w:p>
    <w:p w14:paraId="16F1CD9F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5569FEBD" w14:textId="77777777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Hlasovanie:</w:t>
      </w:r>
      <w:r w:rsidRPr="008A4B9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A4B96" w:rsidRPr="008A4B96" w14:paraId="5B86381E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86B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7FF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0BD" w14:textId="77777777" w:rsidR="008A4B96" w:rsidRPr="008A4B96" w:rsidRDefault="008A4B9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4B96">
              <w:rPr>
                <w:rFonts w:ascii="Times New Roman" w:hAnsi="Times New Roman"/>
                <w:sz w:val="24"/>
                <w:szCs w:val="24"/>
              </w:rPr>
              <w:t xml:space="preserve">Peter Ferko, Michal Svat, František Ferko, Ľubomír </w:t>
            </w:r>
            <w:proofErr w:type="spellStart"/>
            <w:r w:rsidRPr="008A4B96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A4B96" w:rsidRPr="008A4B96" w14:paraId="26DB6ED5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BF59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B1D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2F3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03D8B7EB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B0F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6BC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8D2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20E5468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DDE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AB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B8E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5017C5F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858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1E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AF7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3B12F644" w14:textId="77777777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5CD87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4024D4F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1BE5A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95528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A32A48D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0CB3E24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62FE817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6F110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E841F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F9246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A6B4851" w14:textId="77777777" w:rsidR="008A4B96" w:rsidRPr="008A4B96" w:rsidRDefault="008A4B96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0C230CF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04D71F76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108B6D0B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4F1E2D68" w14:textId="77777777" w:rsidR="008A4B96" w:rsidRPr="001E5E50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13B22B3A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35311741" w14:textId="7090A9E0" w:rsidR="008A4B96" w:rsidRPr="001E5E50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3755E185" w14:textId="51436E24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74B97B0A" w14:textId="77777777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E617A2" w14:textId="7E9B5A60" w:rsidR="008A4B96" w:rsidRPr="00EE20EE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EE20EE" w:rsidRPr="00EE20E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="00EE20EE" w:rsidRPr="00EE2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</w:t>
      </w: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5 Návrh VZN č. 2/2024, ktorým sa mení staré VZN č. 1/2024 o miestnych daniach a miestnom poplatku za komunálne odpady a drobné stavebné odpady.</w:t>
      </w:r>
    </w:p>
    <w:p w14:paraId="54F9ACAE" w14:textId="77777777" w:rsidR="008A4B96" w:rsidRPr="00EE20EE" w:rsidRDefault="008A4B96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 w:rsidRPr="00EE20EE">
        <w:rPr>
          <w:rFonts w:ascii="Times New Roman" w:hAnsi="Times New Roman" w:cs="Times New Roman"/>
          <w:sz w:val="24"/>
          <w:szCs w:val="24"/>
        </w:rPr>
        <w:t>Obecné  zastupiteľstvo Obce Tuhrina</w:t>
      </w:r>
    </w:p>
    <w:p w14:paraId="096264C8" w14:textId="7B798DF5" w:rsidR="008A4B96" w:rsidRPr="00EE20EE" w:rsidRDefault="00EE20EE" w:rsidP="00EE2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A4B96" w:rsidRPr="00EE20EE">
        <w:rPr>
          <w:rFonts w:ascii="Times New Roman" w:hAnsi="Times New Roman" w:cs="Times New Roman"/>
          <w:b/>
          <w:sz w:val="24"/>
          <w:szCs w:val="24"/>
        </w:rPr>
        <w:t>rerokovalo</w:t>
      </w:r>
    </w:p>
    <w:p w14:paraId="1EC110C5" w14:textId="3D530FF8" w:rsidR="008A4B96" w:rsidRDefault="00EE20EE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4B96" w:rsidRPr="00EE20EE">
        <w:rPr>
          <w:rFonts w:ascii="Times New Roman" w:hAnsi="Times New Roman" w:cs="Times New Roman"/>
          <w:sz w:val="24"/>
          <w:szCs w:val="24"/>
        </w:rPr>
        <w:t xml:space="preserve">redložený návrh VZN č. 2/2024 o miestnych daniach a miestnom poplatku za komunálne odpady a drobné stavebné odpady. </w:t>
      </w:r>
    </w:p>
    <w:p w14:paraId="7E9775AC" w14:textId="77777777" w:rsidR="00EE20EE" w:rsidRPr="00EE20EE" w:rsidRDefault="00EE20EE" w:rsidP="008A4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9F382" w14:textId="77777777" w:rsidR="00EE20EE" w:rsidRDefault="00EE20EE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Prijímanie VZN</w:t>
      </w:r>
    </w:p>
    <w:p w14:paraId="6FAD0D4F" w14:textId="381B7D12" w:rsidR="008A4B96" w:rsidRPr="00EE20EE" w:rsidRDefault="008A4B96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 w:rsidRPr="00EE20EE">
        <w:rPr>
          <w:rFonts w:ascii="Times New Roman" w:hAnsi="Times New Roman" w:cs="Times New Roman"/>
          <w:sz w:val="24"/>
          <w:szCs w:val="24"/>
        </w:rPr>
        <w:t xml:space="preserve">Obecné  zastupiteľstvo Obce Tuhrina podľa § 4, §6 a 11 ods. 4 </w:t>
      </w:r>
      <w:proofErr w:type="spellStart"/>
      <w:r w:rsidRPr="00EE20EE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EE20EE">
        <w:rPr>
          <w:rFonts w:ascii="Times New Roman" w:hAnsi="Times New Roman" w:cs="Times New Roman"/>
          <w:sz w:val="24"/>
          <w:szCs w:val="24"/>
        </w:rPr>
        <w:t xml:space="preserve"> g) </w:t>
      </w:r>
      <w:proofErr w:type="spellStart"/>
      <w:r w:rsidRPr="00EE20EE">
        <w:rPr>
          <w:rFonts w:ascii="Times New Roman" w:hAnsi="Times New Roman" w:cs="Times New Roman"/>
          <w:sz w:val="24"/>
          <w:szCs w:val="24"/>
        </w:rPr>
        <w:t>zákna</w:t>
      </w:r>
      <w:proofErr w:type="spellEnd"/>
      <w:r w:rsidRPr="00EE20EE">
        <w:rPr>
          <w:rFonts w:ascii="Times New Roman" w:hAnsi="Times New Roman" w:cs="Times New Roman"/>
          <w:sz w:val="24"/>
          <w:szCs w:val="24"/>
        </w:rPr>
        <w:t xml:space="preserve"> č. 369/1990 Zb. o obecnom zriadení v </w:t>
      </w:r>
      <w:proofErr w:type="spellStart"/>
      <w:r w:rsidRPr="00EE20EE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EE20EE">
        <w:rPr>
          <w:rFonts w:ascii="Times New Roman" w:hAnsi="Times New Roman" w:cs="Times New Roman"/>
          <w:sz w:val="24"/>
          <w:szCs w:val="24"/>
        </w:rPr>
        <w:t>.</w:t>
      </w:r>
    </w:p>
    <w:p w14:paraId="5CE4954C" w14:textId="77777777" w:rsidR="008A4B96" w:rsidRPr="00EE20EE" w:rsidRDefault="008A4B96" w:rsidP="00EE2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0EE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4840595A" w14:textId="055D7BC5" w:rsidR="008A4B96" w:rsidRPr="00EE20EE" w:rsidRDefault="00EE20EE" w:rsidP="008A4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4B96" w:rsidRPr="00EE20EE">
        <w:rPr>
          <w:rFonts w:ascii="Times New Roman" w:hAnsi="Times New Roman" w:cs="Times New Roman"/>
          <w:sz w:val="24"/>
          <w:szCs w:val="24"/>
        </w:rPr>
        <w:t>a VZN č. 2/2024 o miestnych daniach a miestnom poplatku za komunálne odpady a drobné stavebné odpady, ktorým sa mení a dopĺňa pôvodné VZN č. 1/2024 o miestnych daniach a miestnom poplatku za komunálne odpady a drobné stavené odpady.</w:t>
      </w:r>
    </w:p>
    <w:p w14:paraId="67B0BC3E" w14:textId="77777777" w:rsidR="008A4B96" w:rsidRPr="00EE20EE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E20EE">
        <w:rPr>
          <w:rFonts w:ascii="Times New Roman" w:hAnsi="Times New Roman" w:cs="Times New Roman"/>
          <w:b/>
          <w:sz w:val="24"/>
          <w:szCs w:val="24"/>
        </w:rPr>
        <w:t>Hlasovanie:</w:t>
      </w:r>
      <w:r w:rsidRPr="00EE20E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A4B96" w:rsidRPr="00EE20EE" w14:paraId="30502AD6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7B9B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9E0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7A80" w14:textId="77777777" w:rsidR="008A4B96" w:rsidRPr="00EE20EE" w:rsidRDefault="008A4B9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20EE">
              <w:rPr>
                <w:rFonts w:ascii="Times New Roman" w:hAnsi="Times New Roman"/>
                <w:sz w:val="24"/>
                <w:szCs w:val="24"/>
              </w:rPr>
              <w:t xml:space="preserve">Peter Ferko, Michal Svat, František Ferko, Ľubomír </w:t>
            </w:r>
            <w:proofErr w:type="spellStart"/>
            <w:r w:rsidRPr="00EE20EE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A4B96" w:rsidRPr="00EE20EE" w14:paraId="1A51B0C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1F46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781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B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3B473185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C8F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8B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83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430C6A4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B1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288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3E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4BEF155C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0C7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F76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4A8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2E134C94" w14:textId="77777777" w:rsid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735486" w14:textId="77777777" w:rsid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DEBD3D" w14:textId="77777777" w:rsid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E0C66E" w14:textId="77777777" w:rsidR="00EE20EE" w:rsidRP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273E4" w14:textId="77777777" w:rsidR="00EE20EE" w:rsidRPr="001E5E50" w:rsidRDefault="00EE20EE" w:rsidP="00EE20EE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4D747" w14:textId="77777777" w:rsidR="00EE20EE" w:rsidRPr="001E5E50" w:rsidRDefault="00EE20EE" w:rsidP="00EE20EE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093BCC0" w14:textId="77777777" w:rsidR="00EE20EE" w:rsidRPr="008A4B96" w:rsidRDefault="00EE20EE" w:rsidP="00EE20EE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EBCD243" w14:textId="77777777" w:rsidR="00EE20EE" w:rsidRDefault="00EE20EE" w:rsidP="00EE20EE">
      <w:pPr>
        <w:spacing w:line="360" w:lineRule="auto"/>
        <w:jc w:val="both"/>
        <w:rPr>
          <w:iCs/>
          <w:sz w:val="24"/>
          <w:szCs w:val="24"/>
        </w:rPr>
      </w:pPr>
    </w:p>
    <w:p w14:paraId="6CDB3D3D" w14:textId="77777777" w:rsidR="00EE20EE" w:rsidRDefault="00EE20EE" w:rsidP="00EE20EE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7A93660B" w14:textId="77777777" w:rsidR="00EE20EE" w:rsidRDefault="00EE20EE" w:rsidP="00EE20EE">
      <w:pPr>
        <w:pStyle w:val="Bezriadkovania"/>
        <w:jc w:val="right"/>
        <w:rPr>
          <w:b/>
          <w:sz w:val="24"/>
        </w:rPr>
      </w:pPr>
    </w:p>
    <w:p w14:paraId="03BEA178" w14:textId="5B9FEF49" w:rsidR="00EE20EE" w:rsidRPr="001E5E50" w:rsidRDefault="00EE20EE" w:rsidP="00EE20EE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43453A9B" w14:textId="77777777" w:rsidR="00EE20EE" w:rsidRPr="001E5E50" w:rsidRDefault="00EE20EE" w:rsidP="00EE20E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51E6271F" w14:textId="77777777" w:rsidR="00EE20EE" w:rsidRPr="001E5E50" w:rsidRDefault="00EE20EE" w:rsidP="00EE20E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297A62B0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C34298A" w14:textId="4848074F" w:rsidR="00EE20EE" w:rsidRDefault="00EE20EE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>K</w:t>
      </w:r>
      <w:r>
        <w:rPr>
          <w:rFonts w:ascii="Times New Roman" w:hAnsi="Times New Roman" w:cs="Times New Roman"/>
          <w:b/>
          <w:u w:val="single"/>
        </w:rPr>
        <w:t> </w:t>
      </w:r>
      <w:r w:rsidRPr="00F228B4">
        <w:rPr>
          <w:rFonts w:ascii="Times New Roman" w:hAnsi="Times New Roman" w:cs="Times New Roman"/>
          <w:b/>
          <w:u w:val="single"/>
        </w:rPr>
        <w:t>bodu</w:t>
      </w:r>
      <w:r>
        <w:rPr>
          <w:rFonts w:ascii="Times New Roman" w:hAnsi="Times New Roman" w:cs="Times New Roman"/>
          <w:b/>
          <w:u w:val="single"/>
        </w:rPr>
        <w:t xml:space="preserve"> č.</w:t>
      </w:r>
      <w:r w:rsidRPr="00F228B4">
        <w:rPr>
          <w:rFonts w:ascii="Times New Roman" w:hAnsi="Times New Roman" w:cs="Times New Roman"/>
          <w:b/>
          <w:u w:val="single"/>
        </w:rPr>
        <w:t xml:space="preserve"> 6 Nové zásady odmeňovania poslancov v obci Tuhrina </w:t>
      </w:r>
    </w:p>
    <w:p w14:paraId="595FD4B0" w14:textId="77777777" w:rsidR="00D91F76" w:rsidRDefault="00D91F76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4C0CA2C" w14:textId="0A99851C" w:rsidR="00EE20EE" w:rsidRDefault="00EE20EE" w:rsidP="00EE20E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  <w:r w:rsidR="00D91F76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 xml:space="preserve">a základe ustanovenia </w:t>
      </w:r>
      <w:r w:rsidRPr="0073323F">
        <w:rPr>
          <w:rFonts w:ascii="Times New Roman" w:hAnsi="Times New Roman" w:cs="Times New Roman"/>
        </w:rPr>
        <w:t xml:space="preserve">§ 11 ods. 4 písm. </w:t>
      </w:r>
      <w:r>
        <w:rPr>
          <w:rFonts w:ascii="Times New Roman" w:hAnsi="Times New Roman" w:cs="Times New Roman"/>
        </w:rPr>
        <w:t>k</w:t>
      </w:r>
      <w:r w:rsidRPr="0073323F">
        <w:rPr>
          <w:rFonts w:ascii="Times New Roman" w:hAnsi="Times New Roman" w:cs="Times New Roman"/>
        </w:rPr>
        <w:t>) zákona</w:t>
      </w:r>
      <w:r>
        <w:rPr>
          <w:rFonts w:ascii="Times New Roman" w:hAnsi="Times New Roman" w:cs="Times New Roman"/>
        </w:rPr>
        <w:t xml:space="preserve"> SNR</w:t>
      </w:r>
      <w:r w:rsidRPr="0073323F">
        <w:rPr>
          <w:rFonts w:ascii="Times New Roman" w:hAnsi="Times New Roman" w:cs="Times New Roman"/>
        </w:rPr>
        <w:t xml:space="preserve"> č. 369/1990 Zb. o obecnom zradení v z. n. p. </w:t>
      </w:r>
    </w:p>
    <w:p w14:paraId="4318BE3F" w14:textId="4C6F4A24" w:rsidR="00EE20EE" w:rsidRDefault="00EE20EE" w:rsidP="00D91F76">
      <w:pPr>
        <w:jc w:val="center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t>Schvaľuje</w:t>
      </w:r>
    </w:p>
    <w:p w14:paraId="27475393" w14:textId="07A33915" w:rsidR="00EE20EE" w:rsidRPr="004D19FE" w:rsidRDefault="00D91F76" w:rsidP="00EE20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EE20EE" w:rsidRPr="004D19FE">
        <w:rPr>
          <w:rFonts w:ascii="Times New Roman" w:hAnsi="Times New Roman" w:cs="Times New Roman"/>
          <w:bCs/>
        </w:rPr>
        <w:t>ové zásady odmeňovania poslancov v obci Tuhrina</w:t>
      </w:r>
    </w:p>
    <w:p w14:paraId="765DFC53" w14:textId="77777777" w:rsidR="00EE20EE" w:rsidRDefault="00EE20EE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E20EE" w14:paraId="5F8AA18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F8C3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0704" w14:textId="77777777" w:rsidR="00EE20EE" w:rsidRPr="00015314" w:rsidRDefault="00EE20EE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471" w14:textId="77777777" w:rsidR="00EE20EE" w:rsidRPr="00CD40BB" w:rsidRDefault="00EE20EE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EE20EE" w14:paraId="6F1249B7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E07B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51C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8A0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EE" w14:paraId="065B774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D849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417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958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EE" w14:paraId="2FA3E4B4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57A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EBC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E0C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EE" w:rsidRPr="0050141C" w14:paraId="4B89A2FF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7E9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A29" w14:textId="77777777" w:rsidR="00EE20EE" w:rsidRPr="00CD40BB" w:rsidRDefault="00EE20EE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2E7" w14:textId="77777777" w:rsidR="00EE20EE" w:rsidRDefault="00EE20EE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A3EEA9F" w14:textId="77777777" w:rsidR="00EE20EE" w:rsidRDefault="00EE20EE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317340A" w14:textId="77777777" w:rsidR="00EE20EE" w:rsidRDefault="00EE20EE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91C412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0CB231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81CF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128B2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665A37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92ADF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2CC445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DFB1416" w14:textId="47BACC76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43E49C3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4A09967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</w:p>
    <w:p w14:paraId="4029DCE9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7D0E05A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FF8576F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01D623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7BCCDE3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E2F945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EE46B1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2211AF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2B7873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B68806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CA45080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FDD975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060B93" w14:textId="77777777" w:rsidR="00D91F76" w:rsidRDefault="00D91F76" w:rsidP="00D91F76">
      <w:pPr>
        <w:pStyle w:val="Bezriadkovania"/>
        <w:jc w:val="right"/>
        <w:rPr>
          <w:b/>
          <w:sz w:val="24"/>
        </w:rPr>
      </w:pPr>
    </w:p>
    <w:p w14:paraId="29F6ED35" w14:textId="288BE9A8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00F6C5D3" w14:textId="77777777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160FF2A4" w14:textId="77777777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5E3044BA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BBE812D" w14:textId="0F678B33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č.7  Rôzne – 7.1 – Úprava rozpočtu  – ZŠ s MŠ Tuhrina 3</w:t>
      </w:r>
    </w:p>
    <w:p w14:paraId="080B23F8" w14:textId="6A47FC49" w:rsidR="00D91F76" w:rsidRPr="00D91F76" w:rsidRDefault="00D91F76" w:rsidP="00D91F7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</w:t>
      </w:r>
      <w:r>
        <w:rPr>
          <w:rFonts w:ascii="Times New Roman" w:hAnsi="Times New Roman" w:cs="Times New Roman"/>
          <w:bCs/>
          <w:sz w:val="24"/>
          <w:szCs w:val="24"/>
        </w:rPr>
        <w:t xml:space="preserve">v zmysle ustanovenia  § 11 ods. 4 písm. b) zákona SNR č. 369/1990 Zb. o obecnom zriadení, v znení neskorších predpisov a v zmysle ustanovenia  § 14 ods. 2 písm. a) až d) zákona č. 583/2004 Z. z. o rozpočtových pravidlách územnej samosprávy a o zmene a doplnení niektorých zákonov </w:t>
      </w:r>
    </w:p>
    <w:p w14:paraId="2E6F8EF4" w14:textId="77777777" w:rsidR="00D91F76" w:rsidRDefault="00D91F76" w:rsidP="00D91F7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BE06A" w14:textId="77777777" w:rsidR="00D91F76" w:rsidRPr="005968C3" w:rsidRDefault="00D91F76" w:rsidP="00D91F76">
      <w:pPr>
        <w:pStyle w:val="Odsekzoznamu"/>
        <w:numPr>
          <w:ilvl w:val="0"/>
          <w:numId w:val="18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14:paraId="106CF7B6" w14:textId="17ECB4BB" w:rsidR="00D91F76" w:rsidRPr="004D19FE" w:rsidRDefault="00D91F76" w:rsidP="00D91F7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 xml:space="preserve">pravu rozpočtu školy – prenesený výkon štátnej správy v školstve – </w:t>
      </w:r>
      <w:r>
        <w:rPr>
          <w:rFonts w:ascii="Times New Roman" w:hAnsi="Times New Roman" w:cs="Times New Roman"/>
          <w:bCs/>
        </w:rPr>
        <w:t xml:space="preserve">na základe rozpisu </w:t>
      </w:r>
      <w:r w:rsidRPr="004D19FE">
        <w:rPr>
          <w:rFonts w:ascii="Times New Roman" w:hAnsi="Times New Roman" w:cs="Times New Roman"/>
          <w:bCs/>
        </w:rPr>
        <w:t>normatívn</w:t>
      </w:r>
      <w:r>
        <w:rPr>
          <w:rFonts w:ascii="Times New Roman" w:hAnsi="Times New Roman" w:cs="Times New Roman"/>
          <w:bCs/>
        </w:rPr>
        <w:t>ych</w:t>
      </w:r>
      <w:r w:rsidRPr="004D19FE">
        <w:rPr>
          <w:rFonts w:ascii="Times New Roman" w:hAnsi="Times New Roman" w:cs="Times New Roman"/>
          <w:bCs/>
        </w:rPr>
        <w:t xml:space="preserve"> a nenormatív</w:t>
      </w:r>
      <w:r>
        <w:rPr>
          <w:rFonts w:ascii="Times New Roman" w:hAnsi="Times New Roman" w:cs="Times New Roman"/>
          <w:bCs/>
        </w:rPr>
        <w:t>nych</w:t>
      </w:r>
      <w:r w:rsidRPr="004D19FE">
        <w:rPr>
          <w:rFonts w:ascii="Times New Roman" w:hAnsi="Times New Roman" w:cs="Times New Roman"/>
          <w:bCs/>
        </w:rPr>
        <w:t xml:space="preserve"> FP na rok 2024, rozpisu príspevkov na podporné opatrenia na rok 2024 a na základe zmlúv o vzájomnej spolupráci pri implantáci</w:t>
      </w:r>
      <w:r>
        <w:rPr>
          <w:rFonts w:ascii="Times New Roman" w:hAnsi="Times New Roman" w:cs="Times New Roman"/>
          <w:bCs/>
        </w:rPr>
        <w:t>í</w:t>
      </w:r>
      <w:r w:rsidRPr="004D19FE">
        <w:rPr>
          <w:rFonts w:ascii="Times New Roman" w:hAnsi="Times New Roman" w:cs="Times New Roman"/>
          <w:bCs/>
        </w:rPr>
        <w:t xml:space="preserve"> projektových aktivít v rámci NP POP </w:t>
      </w:r>
      <w:r>
        <w:rPr>
          <w:rFonts w:ascii="Times New Roman" w:hAnsi="Times New Roman" w:cs="Times New Roman"/>
          <w:bCs/>
        </w:rPr>
        <w:t>III - NIVAM,</w:t>
      </w:r>
      <w:r w:rsidRPr="004D19FE">
        <w:rPr>
          <w:rFonts w:ascii="Times New Roman" w:hAnsi="Times New Roman" w:cs="Times New Roman"/>
          <w:bCs/>
        </w:rPr>
        <w:t xml:space="preserve"> pre školy zriaďovateľov a školské zariadenia v zriaďovateľskej pôsobnosti RÚŠS v sídle kraja</w:t>
      </w:r>
      <w:r>
        <w:rPr>
          <w:rFonts w:ascii="Times New Roman" w:hAnsi="Times New Roman" w:cs="Times New Roman"/>
          <w:bCs/>
        </w:rPr>
        <w:t>. Výdavky budú použité na osobné a prevádzkové N.</w:t>
      </w:r>
    </w:p>
    <w:p w14:paraId="3F67B33F" w14:textId="77777777" w:rsidR="00D91F76" w:rsidRPr="000C6AA6" w:rsidRDefault="00D91F76" w:rsidP="00D91F76">
      <w:pPr>
        <w:pStyle w:val="Odsekzoznamu"/>
        <w:numPr>
          <w:ilvl w:val="0"/>
          <w:numId w:val="18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C6AA6">
        <w:rPr>
          <w:rFonts w:ascii="Times New Roman" w:hAnsi="Times New Roman" w:cs="Times New Roman"/>
          <w:b/>
        </w:rPr>
        <w:t>erie na vedomie</w:t>
      </w:r>
    </w:p>
    <w:p w14:paraId="08543F39" w14:textId="5BC1A3CE" w:rsidR="00D91F76" w:rsidRPr="004D19FE" w:rsidRDefault="00D91F76" w:rsidP="00D91F7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 – prenesený výkon štátnej správy v školstve –</w:t>
      </w:r>
      <w:r>
        <w:rPr>
          <w:rFonts w:ascii="Times New Roman" w:hAnsi="Times New Roman" w:cs="Times New Roman"/>
          <w:bCs/>
        </w:rPr>
        <w:t xml:space="preserve"> na základe rozpisu </w:t>
      </w:r>
      <w:r w:rsidRPr="004D19FE">
        <w:rPr>
          <w:rFonts w:ascii="Times New Roman" w:hAnsi="Times New Roman" w:cs="Times New Roman"/>
          <w:bCs/>
        </w:rPr>
        <w:t xml:space="preserve"> normatívn</w:t>
      </w:r>
      <w:r>
        <w:rPr>
          <w:rFonts w:ascii="Times New Roman" w:hAnsi="Times New Roman" w:cs="Times New Roman"/>
          <w:bCs/>
        </w:rPr>
        <w:t>ych</w:t>
      </w:r>
      <w:r w:rsidRPr="004D19F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</w:t>
      </w:r>
      <w:r w:rsidRPr="004D19FE">
        <w:rPr>
          <w:rFonts w:ascii="Times New Roman" w:hAnsi="Times New Roman" w:cs="Times New Roman"/>
          <w:bCs/>
        </w:rPr>
        <w:t xml:space="preserve">P na rok 2024, </w:t>
      </w:r>
      <w:r>
        <w:rPr>
          <w:rFonts w:ascii="Times New Roman" w:hAnsi="Times New Roman" w:cs="Times New Roman"/>
          <w:bCs/>
        </w:rPr>
        <w:t>na základe dofinancovania normatívnych FP na podporné opatrenie – doučovanie a na základe zmlúv</w:t>
      </w:r>
      <w:r w:rsidRPr="004D19FE">
        <w:rPr>
          <w:rFonts w:ascii="Times New Roman" w:hAnsi="Times New Roman" w:cs="Times New Roman"/>
          <w:bCs/>
        </w:rPr>
        <w:t xml:space="preserve"> o vzájomnej spolupráci pri implantáci</w:t>
      </w:r>
      <w:r>
        <w:rPr>
          <w:rFonts w:ascii="Times New Roman" w:hAnsi="Times New Roman" w:cs="Times New Roman"/>
          <w:bCs/>
        </w:rPr>
        <w:t>í</w:t>
      </w:r>
      <w:r w:rsidRPr="004D19FE">
        <w:rPr>
          <w:rFonts w:ascii="Times New Roman" w:hAnsi="Times New Roman" w:cs="Times New Roman"/>
          <w:bCs/>
        </w:rPr>
        <w:t xml:space="preserve"> projektových aktivít v rámci NP POP </w:t>
      </w:r>
      <w:r>
        <w:rPr>
          <w:rFonts w:ascii="Times New Roman" w:hAnsi="Times New Roman" w:cs="Times New Roman"/>
          <w:bCs/>
        </w:rPr>
        <w:t>III - NIVAM,</w:t>
      </w:r>
      <w:r w:rsidRPr="004D19FE">
        <w:rPr>
          <w:rFonts w:ascii="Times New Roman" w:hAnsi="Times New Roman" w:cs="Times New Roman"/>
          <w:bCs/>
        </w:rPr>
        <w:t xml:space="preserve"> pre školy zriaďovateľov a školské zariadenia v zriaďovateľskej pôsobnosti RÚŠS v sídle kraja</w:t>
      </w:r>
      <w:r>
        <w:rPr>
          <w:rFonts w:ascii="Times New Roman" w:hAnsi="Times New Roman" w:cs="Times New Roman"/>
          <w:bCs/>
        </w:rPr>
        <w:t>. Výdavky budú použité na osobné a prevádzkové N.</w:t>
      </w:r>
    </w:p>
    <w:p w14:paraId="230A1E30" w14:textId="77777777" w:rsidR="00D91F76" w:rsidRPr="004D19FE" w:rsidRDefault="00D91F76" w:rsidP="00D91F76">
      <w:pPr>
        <w:pStyle w:val="Odsekzoznamu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schvaľuje</w:t>
      </w:r>
    </w:p>
    <w:p w14:paraId="5634DEEB" w14:textId="776C6161" w:rsidR="00D91F76" w:rsidRPr="008E3633" w:rsidRDefault="00D91F76" w:rsidP="00D91F7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8E3633">
        <w:rPr>
          <w:rFonts w:ascii="Times New Roman" w:hAnsi="Times New Roman" w:cs="Times New Roman"/>
          <w:bCs/>
        </w:rPr>
        <w:t xml:space="preserve">pravu rozpočtu školy – </w:t>
      </w:r>
      <w:r>
        <w:rPr>
          <w:rFonts w:ascii="Times New Roman" w:hAnsi="Times New Roman" w:cs="Times New Roman"/>
          <w:bCs/>
        </w:rPr>
        <w:t>originálne školské kompetencie</w:t>
      </w:r>
      <w:r w:rsidRPr="008E36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(vlastné príjmy samosprávy)</w:t>
      </w:r>
      <w:r w:rsidRPr="008E3633">
        <w:rPr>
          <w:rFonts w:ascii="Times New Roman" w:hAnsi="Times New Roman" w:cs="Times New Roman"/>
          <w:bCs/>
        </w:rPr>
        <w:t xml:space="preserve">– na </w:t>
      </w:r>
      <w:r>
        <w:rPr>
          <w:rFonts w:ascii="Times New Roman" w:hAnsi="Times New Roman" w:cs="Times New Roman"/>
          <w:bCs/>
        </w:rPr>
        <w:t>základe zmlúv o vzájomnej spolupráci pri implementácii projektových aktivít v rámci NP POP III – NIVAM. Úprava rozpočtu rieši úpravu v jednotlivých položkách a  analytických účtoch v rámci skupín 610 a 620.</w:t>
      </w:r>
    </w:p>
    <w:p w14:paraId="4558C226" w14:textId="77777777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1F76" w14:paraId="48F64F9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167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A84F" w14:textId="77777777" w:rsidR="00D91F76" w:rsidRPr="00015314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BD55" w14:textId="77777777" w:rsidR="00D91F76" w:rsidRPr="00CD40BB" w:rsidRDefault="00D91F7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D91F76" w14:paraId="58800658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C2D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D08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F11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14:paraId="7DA21134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51E2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4DD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35A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14:paraId="65C31DA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C1B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727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116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50141C" w14:paraId="2A204A92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733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1D58" w14:textId="77777777" w:rsidR="00D91F76" w:rsidRPr="00CD40BB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D31" w14:textId="77777777" w:rsid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28B6CA49" w14:textId="77777777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6240F67F" w14:textId="77777777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18FD949" w14:textId="77777777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68F9FA9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EECDD94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</w:p>
    <w:p w14:paraId="7FFD3FAB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11762585" w14:textId="77777777" w:rsidR="00D91F76" w:rsidRDefault="00D91F76" w:rsidP="00D91F76">
      <w:pPr>
        <w:pStyle w:val="Bezriadkovania"/>
        <w:jc w:val="right"/>
        <w:rPr>
          <w:b/>
          <w:sz w:val="24"/>
        </w:rPr>
      </w:pPr>
    </w:p>
    <w:p w14:paraId="7C8A11F7" w14:textId="46DA7C43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57E028D7" w14:textId="77777777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4D8BA08A" w14:textId="77777777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0F97172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061981B" w14:textId="29CCA573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F76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č.7 Rôzne – 7.2 – Úprava rozpočtu obce č. 4/2024 – KV (miestnosť RO, VO, kamerový systém – KAMTEL, </w:t>
      </w:r>
      <w:proofErr w:type="spellStart"/>
      <w:r w:rsidRPr="00D91F76">
        <w:rPr>
          <w:rFonts w:ascii="Times New Roman" w:hAnsi="Times New Roman" w:cs="Times New Roman"/>
          <w:b/>
          <w:sz w:val="24"/>
          <w:szCs w:val="24"/>
          <w:u w:val="single"/>
        </w:rPr>
        <w:t>s.r.o</w:t>
      </w:r>
      <w:proofErr w:type="spellEnd"/>
      <w:r w:rsidRPr="00D91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3 ks )</w:t>
      </w:r>
    </w:p>
    <w:p w14:paraId="35523433" w14:textId="77777777" w:rsidR="00D91F76" w:rsidRPr="00D91F76" w:rsidRDefault="00D91F76" w:rsidP="00D91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B2EE3" w14:textId="0F40AB32" w:rsidR="00D91F76" w:rsidRPr="00D91F76" w:rsidRDefault="00D91F76" w:rsidP="00D91F76">
      <w:pPr>
        <w:jc w:val="both"/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sz w:val="24"/>
          <w:szCs w:val="24"/>
        </w:rPr>
        <w:t xml:space="preserve">Obecné  zastupiteľstvo Obce Tuhrina </w:t>
      </w:r>
      <w:r w:rsidRPr="00D91F76">
        <w:rPr>
          <w:rFonts w:ascii="Times New Roman" w:hAnsi="Times New Roman" w:cs="Times New Roman"/>
          <w:bCs/>
          <w:sz w:val="24"/>
          <w:szCs w:val="24"/>
        </w:rPr>
        <w:t>v súlade s § 11 ods. 4 písm. b) zákona SNR č. 369/1990 Zb. o obecnom zriadení, v znení neskorších predpisov a v zmysle ustanovenia § 14 ods. 2 písm. a) až d) zákona č. 583/2004 Z. z. o rozpočtových pravidlách územnej samosprávy a o zmene a doplnení niektorých zákonov v </w:t>
      </w:r>
      <w:proofErr w:type="spellStart"/>
      <w:r w:rsidRPr="00D91F76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D91F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027AD5" w14:textId="77777777" w:rsidR="00D91F76" w:rsidRPr="00D91F76" w:rsidRDefault="00D91F76" w:rsidP="00D91F7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2EF1FB" w14:textId="77777777" w:rsidR="00D91F76" w:rsidRPr="00D91F76" w:rsidRDefault="00D91F76" w:rsidP="00D91F76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t>prerokovalo</w:t>
      </w:r>
    </w:p>
    <w:p w14:paraId="63060848" w14:textId="77777777" w:rsidR="00D91F76" w:rsidRPr="00D91F76" w:rsidRDefault="00D91F76" w:rsidP="00D91F76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sz w:val="24"/>
          <w:szCs w:val="24"/>
        </w:rPr>
        <w:t>rozpočtové opatrenie č. 4/2024</w:t>
      </w:r>
    </w:p>
    <w:p w14:paraId="7978A877" w14:textId="77777777" w:rsidR="00D91F76" w:rsidRDefault="00D91F76" w:rsidP="00D91F76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sz w:val="24"/>
          <w:szCs w:val="24"/>
        </w:rPr>
        <w:t>úpravu rozpočtu</w:t>
      </w:r>
    </w:p>
    <w:p w14:paraId="1C29AC4A" w14:textId="77777777" w:rsidR="00D91F76" w:rsidRPr="00D91F76" w:rsidRDefault="00D91F76" w:rsidP="00D91F7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24E3D62B" w14:textId="77777777" w:rsidR="00D91F76" w:rsidRPr="00D91F76" w:rsidRDefault="00D91F76" w:rsidP="00D91F7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539BE9B1" w14:textId="77777777" w:rsidR="00D91F76" w:rsidRPr="00D91F76" w:rsidRDefault="00D91F76" w:rsidP="00D91F76">
      <w:pPr>
        <w:pStyle w:val="Bezriadkovania"/>
        <w:numPr>
          <w:ilvl w:val="0"/>
          <w:numId w:val="1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F76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1F60FC60" w14:textId="77777777" w:rsidR="00D91F76" w:rsidRPr="00D91F76" w:rsidRDefault="00D91F76" w:rsidP="00D91F76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sz w:val="24"/>
          <w:szCs w:val="24"/>
        </w:rPr>
        <w:t xml:space="preserve">        rozpočtové opatrenie č. 4/2024</w:t>
      </w:r>
    </w:p>
    <w:p w14:paraId="66BEB6E1" w14:textId="77777777" w:rsidR="00D91F76" w:rsidRPr="00D91F76" w:rsidRDefault="00D91F76" w:rsidP="00D91F7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C4EF" w14:textId="77777777" w:rsidR="00D91F76" w:rsidRPr="00D91F76" w:rsidRDefault="00D91F76" w:rsidP="00D91F7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9E1CD95" w14:textId="77777777" w:rsidR="00D91F76" w:rsidRDefault="00D91F76" w:rsidP="00D91F76">
      <w:pPr>
        <w:pStyle w:val="Odsekzoznamu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324088A2" w14:textId="77777777" w:rsidR="00D91F76" w:rsidRPr="00D91F76" w:rsidRDefault="00D91F76" w:rsidP="00D91F76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56988EEA" w14:textId="77777777" w:rsidR="00D91F76" w:rsidRPr="00D91F76" w:rsidRDefault="00D91F76" w:rsidP="00D91F76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76">
        <w:rPr>
          <w:rFonts w:ascii="Times New Roman" w:hAnsi="Times New Roman" w:cs="Times New Roman"/>
          <w:bCs/>
          <w:sz w:val="24"/>
          <w:szCs w:val="24"/>
        </w:rPr>
        <w:t>úpravu rozpočtu Obce Tuhrina rozpočtovým opatrením č. 4/2024</w:t>
      </w:r>
    </w:p>
    <w:p w14:paraId="35AF9348" w14:textId="77777777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t>Hlasovanie:</w:t>
      </w:r>
      <w:r w:rsidRPr="00D91F7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1F76" w:rsidRPr="00D91F76" w14:paraId="4FA2C3A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F6B1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AD5B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9B9" w14:textId="77777777" w:rsidR="00D91F76" w:rsidRPr="00D91F76" w:rsidRDefault="00D91F7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F76">
              <w:rPr>
                <w:rFonts w:ascii="Times New Roman" w:hAnsi="Times New Roman"/>
                <w:sz w:val="24"/>
                <w:szCs w:val="24"/>
              </w:rPr>
              <w:t xml:space="preserve">Peter Ferko, Michal Svat, František Ferko, Ľubomír </w:t>
            </w:r>
            <w:proofErr w:type="spellStart"/>
            <w:r w:rsidRPr="00D91F76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D91F76" w:rsidRPr="00D91F76" w14:paraId="41D7B72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4E2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36F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14A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5718923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9396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65A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1C4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1B4D384D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37C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2C7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0E5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2F8F55D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3E8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57D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024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0D18B8D6" w14:textId="77777777" w:rsidR="00D91F76" w:rsidRDefault="00D91F76" w:rsidP="00D91F76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4F608BD" w14:textId="77777777" w:rsidR="00D91F76" w:rsidRDefault="00D91F76" w:rsidP="00D91F76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8D64B78" w14:textId="77777777" w:rsidR="00D91F76" w:rsidRDefault="00D91F76" w:rsidP="00D91F76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6C0C5A7" w14:textId="2E777631" w:rsidR="00D91F76" w:rsidRPr="00D91F76" w:rsidRDefault="00D91F76" w:rsidP="00D91F76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5C6B8DE7" w14:textId="0D502258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D91F76">
        <w:rPr>
          <w:rFonts w:ascii="Times New Roman" w:hAnsi="Times New Roman" w:cs="Times New Roman"/>
          <w:bCs/>
          <w:sz w:val="24"/>
          <w:szCs w:val="24"/>
        </w:rPr>
        <w:t>úpu 3 ks kamier do obce</w:t>
      </w:r>
      <w:r w:rsidR="009C14C4">
        <w:rPr>
          <w:rFonts w:ascii="Times New Roman" w:hAnsi="Times New Roman" w:cs="Times New Roman"/>
          <w:bCs/>
          <w:sz w:val="24"/>
          <w:szCs w:val="24"/>
        </w:rPr>
        <w:t xml:space="preserve"> a inštaláciu kamerového systému v cente obce firmou KAMTEL </w:t>
      </w:r>
      <w:proofErr w:type="spellStart"/>
      <w:r w:rsidR="009C14C4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="006D63B8">
        <w:rPr>
          <w:rFonts w:ascii="Times New Roman" w:hAnsi="Times New Roman" w:cs="Times New Roman"/>
          <w:bCs/>
          <w:sz w:val="24"/>
          <w:szCs w:val="24"/>
        </w:rPr>
        <w:t xml:space="preserve">  podľa cenovej ponuky.</w:t>
      </w:r>
    </w:p>
    <w:p w14:paraId="33E6A6F0" w14:textId="77777777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686FE7" w14:textId="77777777" w:rsid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B4170A" w14:textId="77777777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FC909" w14:textId="77777777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lastRenderedPageBreak/>
        <w:t>Hlasovanie:</w:t>
      </w:r>
      <w:r w:rsidRPr="00D91F7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1F76" w:rsidRPr="00D91F76" w14:paraId="39323EA3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2A3F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93C4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116" w14:textId="77777777" w:rsidR="00D91F76" w:rsidRPr="00D91F76" w:rsidRDefault="00D91F7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F76">
              <w:rPr>
                <w:rFonts w:ascii="Times New Roman" w:hAnsi="Times New Roman"/>
                <w:sz w:val="24"/>
                <w:szCs w:val="24"/>
              </w:rPr>
              <w:t xml:space="preserve">Peter Ferko, Michal Svat, František Ferko, Ľubomír </w:t>
            </w:r>
            <w:proofErr w:type="spellStart"/>
            <w:r w:rsidRPr="00D91F76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D91F76" w:rsidRPr="00D91F76" w14:paraId="553174ED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E4B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D3C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669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01C53FB5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D6F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666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030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2AC9E92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40F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ADB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85C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666AE1A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76A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5DB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CD1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48C76F34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8425BFF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15F8575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8A42DE4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0C641E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DE586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A274DF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64378D5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010567" w14:textId="77777777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73905A6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19AAB36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</w:p>
    <w:p w14:paraId="05A724D7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6CFADAA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EE30CC0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A644861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8482C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07CC9A1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11ED13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F58C31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35C8C5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0867B55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A11738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C2BD85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0EC5CBE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902544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3BAB08E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5B7394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9C420B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9363A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8F30E58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5241EEE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6D7465F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929DB99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A92F586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191A8C6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2E29138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63E49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F7803B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5DCCB7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09959F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EFCD18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B6AB0A8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144573E" w14:textId="7B3CA3BC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75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15D3C090" w14:textId="77777777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778F2262" w14:textId="77777777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7C6FDBA3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03973A7" w14:textId="502A28E6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 7  Rôzne – 7.3 – Voľba hlavného kontrolóra obce Tuhrina</w:t>
      </w:r>
    </w:p>
    <w:p w14:paraId="2726D8DD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85A6F01" w14:textId="77777777" w:rsidR="00655B35" w:rsidRPr="00A04425" w:rsidRDefault="00655B35" w:rsidP="00655B35">
      <w:pPr>
        <w:pStyle w:val="Odsekzoznamu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60612F3C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0B5E01A4" w14:textId="6C47A096" w:rsidR="00655B35" w:rsidRPr="00A04425" w:rsidRDefault="00655B35" w:rsidP="00655B35">
      <w:pPr>
        <w:pStyle w:val="Odsekzoznamu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určuje</w:t>
      </w:r>
    </w:p>
    <w:p w14:paraId="3071B92F" w14:textId="77777777" w:rsidR="00655B35" w:rsidRDefault="00655B35" w:rsidP="00655B35">
      <w:pPr>
        <w:ind w:left="360"/>
        <w:jc w:val="both"/>
        <w:rPr>
          <w:rStyle w:val="Vrazn"/>
          <w:b w:val="0"/>
          <w:color w:val="000000"/>
          <w:sz w:val="24"/>
          <w:szCs w:val="24"/>
        </w:rPr>
      </w:pPr>
      <w:r w:rsidRPr="00A04425">
        <w:rPr>
          <w:rFonts w:ascii="Times New Roman" w:hAnsi="Times New Roman" w:cs="Times New Roman"/>
        </w:rPr>
        <w:t xml:space="preserve">v súlade s § 18a ods. 6 zákona č. 369/1990 Zb. o obecnom zriadení v znení neskorších predpisov dĺžku pracovného času pre funkciu hlavného kontrolóra </w:t>
      </w:r>
      <w:r>
        <w:rPr>
          <w:rFonts w:ascii="Times New Roman" w:hAnsi="Times New Roman" w:cs="Times New Roman"/>
        </w:rPr>
        <w:t xml:space="preserve">obce Tuhrina </w:t>
      </w:r>
      <w:r w:rsidRPr="00A04425">
        <w:rPr>
          <w:rFonts w:ascii="Times New Roman" w:hAnsi="Times New Roman" w:cs="Times New Roman"/>
        </w:rPr>
        <w:t xml:space="preserve"> na </w:t>
      </w:r>
      <w:r w:rsidRPr="00A732AE">
        <w:rPr>
          <w:rStyle w:val="Vrazn"/>
          <w:b w:val="0"/>
          <w:color w:val="000000"/>
          <w:sz w:val="24"/>
          <w:szCs w:val="24"/>
        </w:rPr>
        <w:t>0,06 úväzku (6%) z týždenného pracovného času.</w:t>
      </w:r>
    </w:p>
    <w:p w14:paraId="15DA1A4A" w14:textId="77777777" w:rsidR="00655B35" w:rsidRPr="00A04425" w:rsidRDefault="00655B35" w:rsidP="00655B35">
      <w:pPr>
        <w:pStyle w:val="Odsekzoznamu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</w:p>
    <w:p w14:paraId="6B2F5708" w14:textId="79EC3BAD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t xml:space="preserve">v zmysle § 18a ods. 2 zákona SNR č. 369/1990 Zb. o obecnom zriadení v znení neskorších predpisov voľbu  hlavného kontrolóra </w:t>
      </w:r>
      <w:r w:rsidR="00DF255F">
        <w:rPr>
          <w:rFonts w:ascii="Times New Roman" w:hAnsi="Times New Roman" w:cs="Times New Roman"/>
          <w:bCs/>
          <w:sz w:val="24"/>
          <w:szCs w:val="24"/>
        </w:rPr>
        <w:t>obce Tuhrina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22.01.2025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</w:t>
      </w:r>
      <w:r w:rsidR="00DF255F">
        <w:rPr>
          <w:rFonts w:ascii="Times New Roman" w:hAnsi="Times New Roman" w:cs="Times New Roman"/>
          <w:bCs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2AB90F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A1E56" w14:textId="77777777" w:rsidR="00655B35" w:rsidRPr="00675B80" w:rsidRDefault="00655B35" w:rsidP="00655B35">
      <w:pPr>
        <w:pStyle w:val="Bezriadkovania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7B3A9152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5ECF4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5FC01159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672D3" w14:textId="77777777" w:rsidR="00655B35" w:rsidRPr="00675B80" w:rsidRDefault="00655B35" w:rsidP="00655B35">
      <w:pPr>
        <w:pStyle w:val="Bezriadkovania"/>
        <w:numPr>
          <w:ilvl w:val="0"/>
          <w:numId w:val="2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034FED49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C4EBAD3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do </w:t>
      </w:r>
      <w:r>
        <w:rPr>
          <w:rFonts w:ascii="Times New Roman" w:hAnsi="Times New Roman" w:cs="Times New Roman"/>
          <w:bCs/>
        </w:rPr>
        <w:t>17.01.2025</w:t>
      </w:r>
      <w:r w:rsidRPr="00675B80">
        <w:rPr>
          <w:rFonts w:ascii="Times New Roman" w:hAnsi="Times New Roman" w:cs="Times New Roman"/>
          <w:bCs/>
        </w:rPr>
        <w:t xml:space="preserve"> do 1</w:t>
      </w:r>
      <w:r>
        <w:rPr>
          <w:rFonts w:ascii="Times New Roman" w:hAnsi="Times New Roman" w:cs="Times New Roman"/>
          <w:bCs/>
        </w:rPr>
        <w:t>2</w:t>
      </w:r>
      <w:r w:rsidRPr="00675B80">
        <w:rPr>
          <w:rFonts w:ascii="Times New Roman" w:hAnsi="Times New Roman" w:cs="Times New Roman"/>
          <w:bCs/>
        </w:rPr>
        <w:t xml:space="preserve">:00 hod.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6361F80F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0764C43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15588700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meno, priezvisko, titul, dátum narodenia, adresa trvalého pobytu, kontaktné údaje (e-mail, telefón),</w:t>
      </w:r>
    </w:p>
    <w:p w14:paraId="003FCA9E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2A4CCB0B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5F162EF3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71141337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2A32173F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EB2A5E0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069261FD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38C5D1B2" w14:textId="77777777" w:rsidR="00655B35" w:rsidRDefault="00655B35" w:rsidP="00655B35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180A68A4" w14:textId="77777777" w:rsidR="00655B35" w:rsidRDefault="00655B35" w:rsidP="00655B35">
      <w:pPr>
        <w:pStyle w:val="Bezriadkovania"/>
        <w:numPr>
          <w:ilvl w:val="2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lastRenderedPageBreak/>
        <w:t xml:space="preserve">bezúhonnosť. </w:t>
      </w:r>
    </w:p>
    <w:p w14:paraId="625D2049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9AC8004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>
        <w:rPr>
          <w:rFonts w:ascii="Times New Roman" w:hAnsi="Times New Roman" w:cs="Times New Roman"/>
          <w:bCs/>
        </w:rPr>
        <w:t>22.01.2025</w:t>
      </w:r>
      <w:r w:rsidRPr="00675B8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59B7D7B8" w14:textId="77777777" w:rsidR="00655B35" w:rsidRDefault="00655B35" w:rsidP="00655B35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7CDB8582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0C9DBA00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19F54986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72126401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469381C2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Obecné zastupiteľstvo v Tuhrine bude dozerať na priebeh hlasovania, posúdiť platnosť odovzdaných hlasovacích lístkov a sčítať platné hlasy, ktoré získali jednotliví kandidáti. O výsledkoch tajného hlasovania vypracuje zápisnicu </w:t>
      </w:r>
      <w:r>
        <w:rPr>
          <w:rFonts w:ascii="Times New Roman" w:hAnsi="Times New Roman" w:cs="Times New Roman"/>
          <w:bCs/>
        </w:rPr>
        <w:t>.</w:t>
      </w:r>
    </w:p>
    <w:p w14:paraId="23E5D202" w14:textId="77777777" w:rsidR="00655B35" w:rsidRPr="0032706E" w:rsidRDefault="00655B35" w:rsidP="00655B35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2B66B19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>
        <w:rPr>
          <w:rFonts w:ascii="Times New Roman" w:hAnsi="Times New Roman" w:cs="Times New Roman"/>
          <w:bCs/>
        </w:rPr>
        <w:t>obce Tuhrina.</w:t>
      </w:r>
    </w:p>
    <w:p w14:paraId="6B3765C9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4748C9B4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4E6ED7A1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0D532225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49519313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59840B21" w14:textId="77777777" w:rsidR="00655B35" w:rsidRDefault="00655B35" w:rsidP="00655B35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Nástup: 1.2.2025. </w:t>
      </w:r>
      <w:r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39ABD8EA" w14:textId="77777777" w:rsidR="00655B35" w:rsidRDefault="00655B35" w:rsidP="00655B35">
      <w:pPr>
        <w:pStyle w:val="Odsekzoznamu"/>
        <w:rPr>
          <w:rFonts w:ascii="Times New Roman" w:hAnsi="Times New Roman" w:cs="Times New Roman"/>
          <w:bCs/>
        </w:rPr>
      </w:pP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B6090A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488AD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0B9892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7A52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2456A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FE5CF63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E51FC81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0A50BE4D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56A156DB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49B640E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D1D767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056B564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092A9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D302375" w14:textId="1342756B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76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2ACD0BB5" w14:textId="7777777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1746EE2E" w14:textId="77777777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13416E1E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F8FF0D0" w14:textId="60D9814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 7 Rôzne – 7.4 – Oznámenie o zaradení DHZ obce do kategórie C</w:t>
      </w:r>
    </w:p>
    <w:p w14:paraId="79441BDA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4ED6E69" w14:textId="77777777" w:rsidR="00655B35" w:rsidRPr="00A04425" w:rsidRDefault="00655B35" w:rsidP="00655B35">
      <w:pPr>
        <w:pStyle w:val="Odsekzoznamu"/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63B1817E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o zaradení DHZ obce Tuhrina </w:t>
      </w:r>
      <w:r w:rsidRPr="006940BA">
        <w:rPr>
          <w:rFonts w:ascii="Times New Roman" w:hAnsi="Times New Roman" w:cs="Times New Roman"/>
          <w:b/>
          <w:bCs/>
        </w:rPr>
        <w:t>do kategórie C</w:t>
      </w:r>
      <w:r>
        <w:rPr>
          <w:rFonts w:ascii="Times New Roman" w:hAnsi="Times New Roman" w:cs="Times New Roman"/>
        </w:rPr>
        <w:t xml:space="preserve"> na základe žiadosti v zmysle § 33 zákona č. 314/2001 Z. z o ochrane pred požiari v znení neskorších predpisov Krajské riaditeľstvo Hasičského a záchranného zboru v Prešove. </w:t>
      </w:r>
    </w:p>
    <w:p w14:paraId="585E1F0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4BB79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0A24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0AC061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D1BF315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E7735A0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E50EC22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17F7FE2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2359EF66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3941055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B2AC55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D2966E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7A605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76A8C6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9A1065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9606CC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0152BD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FE5DF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EC4887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A84277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85F2EF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586CCD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31FBB1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84ABE55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B400D4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C6D7D4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767DE74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D7574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3D5174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EA21FE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15D5DD4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A4FEAF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E1ECDD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2DE99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7765A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A0FEEE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657642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DD323F3" w14:textId="7D7E4A22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1816EA2F" w14:textId="7777777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4222DCCC" w14:textId="77777777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15EB4D40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9AA950" w14:textId="2B7B270B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č.7 Rôzne – 7.5 – Oznámenie o Združení obcí Slanské vrchy – spoločný podnik samospráv</w:t>
      </w:r>
    </w:p>
    <w:p w14:paraId="0A750C9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7706D1F" w14:textId="77777777" w:rsidR="00655B35" w:rsidRPr="00A04425" w:rsidRDefault="00655B35" w:rsidP="00655B35">
      <w:pPr>
        <w:pStyle w:val="Odsekzoznamu"/>
        <w:numPr>
          <w:ilvl w:val="0"/>
          <w:numId w:val="24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3F17128E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o Združení Slanské vrchy- spoločnému podniku samospráv, ktorého hlavnou úlohou je príprava a realizácia investičných projektov členských obcí. V prevej fáze sa budú zameriavať na obce s prítomnosťou rómskych komunít. Podnik bude pod výlučnou kontrolou obcí a činnosť bude vykonávať len pre tieto obce. Jeho fungovanie pomôže skvalitniť a urýchliť čerpanie dotačných prostriedkov, odbremení samosprávy od náročných administratívnych a odborných činností a zároveň vytvorí zdroje pre financovanie ďalších verejnoprospešných aktivít obcí. Vstup do podniku ani jeho prevádzka nevyžadujú prostriedky z ich rozpočtu.  </w:t>
      </w:r>
    </w:p>
    <w:p w14:paraId="3EF2C37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46B74D3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3C6F989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5FBDF5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B073AE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F6B2354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4C3739F0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18D247B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D4F171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A33C073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E8FD9B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F6D1D5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6A599E6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EF1090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B8EF6F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FA2477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B5E46AE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515D9CA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8372F1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FC1EDC7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98DC69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9258D09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A090C0" w14:textId="398738FF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1ADDE09B" w14:textId="7777777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4CFE5F64" w14:textId="77777777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1DD05B9D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4CCE320" w14:textId="46A03440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>K</w:t>
      </w:r>
      <w:r>
        <w:rPr>
          <w:rFonts w:ascii="Times New Roman" w:hAnsi="Times New Roman" w:cs="Times New Roman"/>
          <w:b/>
          <w:u w:val="single"/>
        </w:rPr>
        <w:t> </w:t>
      </w:r>
      <w:r w:rsidRPr="00F228B4">
        <w:rPr>
          <w:rFonts w:ascii="Times New Roman" w:hAnsi="Times New Roman" w:cs="Times New Roman"/>
          <w:b/>
          <w:u w:val="single"/>
        </w:rPr>
        <w:t>bodu</w:t>
      </w:r>
      <w:r>
        <w:rPr>
          <w:rFonts w:ascii="Times New Roman" w:hAnsi="Times New Roman" w:cs="Times New Roman"/>
          <w:b/>
          <w:u w:val="single"/>
        </w:rPr>
        <w:t xml:space="preserve"> č.</w:t>
      </w:r>
      <w:r w:rsidRPr="00F228B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7  Rôzne – 7.6 – Dlžníci –  za obecné byty, za vodu a za miestne dane a TKO 2024</w:t>
      </w:r>
    </w:p>
    <w:p w14:paraId="1ACA44D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5CC009FB" w14:textId="77777777" w:rsidR="00655B35" w:rsidRPr="00A04425" w:rsidRDefault="00655B35" w:rsidP="00655B35">
      <w:pPr>
        <w:pStyle w:val="Odsekzoznamu"/>
        <w:numPr>
          <w:ilvl w:val="0"/>
          <w:numId w:val="25"/>
        </w:numPr>
        <w:jc w:val="center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4E4BC82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obec pošle dlžníkom upomienky. Po nezaplatení to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p w14:paraId="4C7AE3E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42E4BD1D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C8F63D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3F606D9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071813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D76A7F2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3C15B2A6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68BDF0CD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200A3A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F2AAD6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06C0588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02D267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26283C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84FBF7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AF444D3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86C47A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4381DFC6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E546F77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401082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277721F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882992E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73686F2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24CD5043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38CDA40" w14:textId="2405F474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7D9DC720" w14:textId="7777777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28ED1CD3" w14:textId="77777777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42269D3C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3F9F6CC" w14:textId="2D6942CD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 7  Rôzne – 7.7 – Spadnuté zábradlie na moste pri hlavnej ceste</w:t>
      </w:r>
    </w:p>
    <w:p w14:paraId="1CA7D1C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D26901C" w14:textId="77777777" w:rsidR="00655B35" w:rsidRPr="00E33B73" w:rsidRDefault="00655B35" w:rsidP="00655B35">
      <w:pPr>
        <w:pStyle w:val="Odsekzoznamu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</w:rPr>
      </w:pPr>
      <w:r w:rsidRPr="00E33B73">
        <w:rPr>
          <w:rFonts w:ascii="Times New Roman" w:hAnsi="Times New Roman" w:cs="Times New Roman"/>
          <w:b/>
          <w:bCs/>
        </w:rPr>
        <w:t>žiada</w:t>
      </w:r>
    </w:p>
    <w:p w14:paraId="7B736872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starostu obce, aby kvôli spadnutému zábradliu na moste pri hlavnej ceste volal správu ciest. </w:t>
      </w:r>
    </w:p>
    <w:p w14:paraId="157ADB5F" w14:textId="77777777" w:rsidR="00655B35" w:rsidRDefault="00655B35" w:rsidP="00655B35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61148788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A992607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92375C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BB944F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D97BFCD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1A5EFEC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5F1D90B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3A20708F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1C95D9B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4FFFEA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AEE0F6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32E6F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EFD297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11119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1BF272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7733846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F0510C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B3F935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E9A211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8C35DE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6395634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66B701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508C5A5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C7311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BD8B1CF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727137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C28258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4BD293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B7829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A0F868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F3C469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B20F8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4B2C2B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AF80B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A0FE7B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F39682A" w14:textId="576AEA51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80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/2024</w:t>
      </w:r>
    </w:p>
    <w:p w14:paraId="385E09CC" w14:textId="7777777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5E50">
        <w:rPr>
          <w:rFonts w:ascii="Times New Roman" w:hAnsi="Times New Roman" w:cs="Times New Roman"/>
          <w:sz w:val="24"/>
          <w:szCs w:val="24"/>
        </w:rPr>
        <w:t>19. rokovania  Obecného zastupiteľstva Obce Tuhrina</w:t>
      </w:r>
    </w:p>
    <w:p w14:paraId="0AAA983A" w14:textId="77777777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zo dňa 17.12.2024</w:t>
      </w:r>
    </w:p>
    <w:p w14:paraId="6EB62CB6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C381F78" w14:textId="6147743E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č.7 Rôzne – 7.8 – Zimná údržba v obci</w:t>
      </w:r>
    </w:p>
    <w:p w14:paraId="46F42DF0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09320BD" w14:textId="77777777" w:rsidR="00655B35" w:rsidRPr="00E33B73" w:rsidRDefault="00655B35" w:rsidP="00655B35">
      <w:pPr>
        <w:pStyle w:val="Odsekzoznamu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berie na vedomie</w:t>
      </w:r>
    </w:p>
    <w:p w14:paraId="475BB040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zimnú údržbu v obci bude vykonávať starosta obce. </w:t>
      </w:r>
    </w:p>
    <w:p w14:paraId="6A331E5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45503EDB" w14:textId="77777777" w:rsidR="00655B35" w:rsidRPr="00742804" w:rsidRDefault="00655B35" w:rsidP="00655B35">
      <w:pPr>
        <w:jc w:val="both"/>
        <w:rPr>
          <w:rFonts w:ascii="Times New Roman" w:hAnsi="Times New Roman" w:cs="Times New Roman"/>
        </w:rPr>
      </w:pPr>
    </w:p>
    <w:p w14:paraId="4867066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36C9AF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881ECDD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B68D32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F790BC1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41C4D8BC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>V Tuhrine, podpísané dňa: 17.12.2024</w:t>
      </w:r>
    </w:p>
    <w:p w14:paraId="23856CEE" w14:textId="77777777" w:rsidR="00655B35" w:rsidRPr="00F228B4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D68270D" w14:textId="77777777" w:rsidR="00655B35" w:rsidRPr="00EE20EE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sectPr w:rsidR="00655B35" w:rsidRPr="00EE20E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20"/>
  </w:num>
  <w:num w:numId="5">
    <w:abstractNumId w:val="2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24"/>
  </w:num>
  <w:num w:numId="11">
    <w:abstractNumId w:val="3"/>
  </w:num>
  <w:num w:numId="12">
    <w:abstractNumId w:val="13"/>
  </w:num>
  <w:num w:numId="13">
    <w:abstractNumId w:val="18"/>
  </w:num>
  <w:num w:numId="14">
    <w:abstractNumId w:val="19"/>
  </w:num>
  <w:num w:numId="15">
    <w:abstractNumId w:val="14"/>
  </w:num>
  <w:num w:numId="16">
    <w:abstractNumId w:val="16"/>
  </w:num>
  <w:num w:numId="17">
    <w:abstractNumId w:val="5"/>
  </w:num>
  <w:num w:numId="18">
    <w:abstractNumId w:val="23"/>
  </w:num>
  <w:num w:numId="19">
    <w:abstractNumId w:val="25"/>
  </w:num>
  <w:num w:numId="20">
    <w:abstractNumId w:val="15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8B3"/>
    <w:rsid w:val="00D67FA2"/>
    <w:rsid w:val="00D71640"/>
    <w:rsid w:val="00D72BD1"/>
    <w:rsid w:val="00D83ED4"/>
    <w:rsid w:val="00D84D69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255F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05AD-B9F4-4404-9D7C-7EFBBD6B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</cp:revision>
  <cp:lastPrinted>2024-12-30T07:24:00Z</cp:lastPrinted>
  <dcterms:created xsi:type="dcterms:W3CDTF">2024-12-27T16:09:00Z</dcterms:created>
  <dcterms:modified xsi:type="dcterms:W3CDTF">2025-02-04T07:31:00Z</dcterms:modified>
</cp:coreProperties>
</file>