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5BBBA" w14:textId="77777777" w:rsidR="00857C40" w:rsidRPr="00495D71" w:rsidRDefault="00857C40" w:rsidP="00680FB8">
      <w:pPr>
        <w:pStyle w:val="Bezriadkovania"/>
      </w:pPr>
      <w:r w:rsidRPr="00495D71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857F8AE" wp14:editId="01EBDB78">
            <wp:simplePos x="3476625" y="457200"/>
            <wp:positionH relativeFrom="column">
              <wp:posOffset>3476625</wp:posOffset>
            </wp:positionH>
            <wp:positionV relativeFrom="paragraph">
              <wp:align>top</wp:align>
            </wp:positionV>
            <wp:extent cx="609600" cy="762000"/>
            <wp:effectExtent l="0" t="0" r="0" b="0"/>
            <wp:wrapSquare wrapText="bothSides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0FB8" w:rsidRPr="00495D71">
        <w:t>Príloha č. 2</w:t>
      </w:r>
      <w:r w:rsidR="00680FB8" w:rsidRPr="00495D71">
        <w:br w:type="textWrapping" w:clear="all"/>
      </w:r>
    </w:p>
    <w:p w14:paraId="4DEFB67F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0038FD8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25620FC3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3E0373C6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257D432E" w14:textId="35C94D7D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1714F9">
        <w:rPr>
          <w:rFonts w:ascii="Times New Roman" w:hAnsi="Times New Roman" w:cs="Times New Roman"/>
          <w:bCs/>
          <w:sz w:val="24"/>
          <w:szCs w:val="20"/>
        </w:rPr>
        <w:t>4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1714F9">
        <w:rPr>
          <w:rFonts w:ascii="Times New Roman" w:hAnsi="Times New Roman" w:cs="Times New Roman"/>
          <w:bCs/>
          <w:sz w:val="24"/>
          <w:szCs w:val="20"/>
        </w:rPr>
        <w:t>20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1714F9">
        <w:rPr>
          <w:rFonts w:ascii="Times New Roman" w:hAnsi="Times New Roman" w:cs="Times New Roman"/>
          <w:bCs/>
          <w:sz w:val="24"/>
          <w:szCs w:val="20"/>
        </w:rPr>
        <w:t>1</w:t>
      </w:r>
    </w:p>
    <w:p w14:paraId="518703CB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43A9528B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51D0897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48378F4C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6813F5D" w14:textId="2D60F54E" w:rsidR="00F71D4D" w:rsidRPr="006E2789" w:rsidRDefault="00671653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1714F9" w:rsidRPr="001714F9">
        <w:rPr>
          <w:rFonts w:ascii="Times New Roman" w:hAnsi="Times New Roman" w:cs="Times New Roman"/>
          <w:b/>
          <w:szCs w:val="24"/>
        </w:rPr>
        <w:t>1</w:t>
      </w:r>
      <w:r w:rsidR="008D77F2" w:rsidRPr="001714F9">
        <w:rPr>
          <w:rFonts w:ascii="Times New Roman" w:hAnsi="Times New Roman" w:cs="Times New Roman"/>
          <w:b/>
          <w:bCs/>
          <w:szCs w:val="24"/>
        </w:rPr>
        <w:t>.</w:t>
      </w:r>
      <w:r w:rsidR="001714F9" w:rsidRPr="001714F9">
        <w:rPr>
          <w:rFonts w:ascii="Times New Roman" w:hAnsi="Times New Roman" w:cs="Times New Roman"/>
          <w:b/>
          <w:bCs/>
          <w:szCs w:val="24"/>
        </w:rPr>
        <w:t>2</w:t>
      </w:r>
      <w:r w:rsidR="00DD1431" w:rsidRPr="001714F9">
        <w:rPr>
          <w:rFonts w:ascii="Times New Roman" w:hAnsi="Times New Roman" w:cs="Times New Roman"/>
          <w:b/>
          <w:bCs/>
          <w:szCs w:val="24"/>
        </w:rPr>
        <w:t>.</w:t>
      </w:r>
      <w:r w:rsidR="008D77F2" w:rsidRPr="001714F9">
        <w:rPr>
          <w:rFonts w:ascii="Times New Roman" w:hAnsi="Times New Roman" w:cs="Times New Roman"/>
          <w:b/>
          <w:bCs/>
          <w:szCs w:val="24"/>
        </w:rPr>
        <w:t>202</w:t>
      </w:r>
      <w:r w:rsidR="001714F9" w:rsidRPr="001714F9">
        <w:rPr>
          <w:rFonts w:ascii="Times New Roman" w:hAnsi="Times New Roman" w:cs="Times New Roman"/>
          <w:b/>
          <w:bCs/>
          <w:szCs w:val="24"/>
        </w:rPr>
        <w:t>4</w:t>
      </w:r>
      <w:r w:rsidR="008D77F2" w:rsidRPr="008E6651">
        <w:rPr>
          <w:rFonts w:ascii="Times New Roman" w:hAnsi="Times New Roman" w:cs="Times New Roman"/>
          <w:b/>
          <w:szCs w:val="24"/>
        </w:rPr>
        <w:t xml:space="preserve"> </w:t>
      </w:r>
      <w:r w:rsidR="0008051D" w:rsidRPr="004C6BD1">
        <w:rPr>
          <w:rFonts w:ascii="Times New Roman" w:hAnsi="Times New Roman" w:cs="Times New Roman"/>
          <w:b/>
          <w:szCs w:val="24"/>
        </w:rPr>
        <w:t>o</w:t>
      </w:r>
      <w:r w:rsidR="001714F9">
        <w:rPr>
          <w:rFonts w:ascii="Times New Roman" w:hAnsi="Times New Roman" w:cs="Times New Roman"/>
          <w:b/>
          <w:szCs w:val="24"/>
        </w:rPr>
        <w:t> </w:t>
      </w:r>
      <w:r w:rsidR="0008051D" w:rsidRPr="004C6BD1">
        <w:rPr>
          <w:rFonts w:ascii="Times New Roman" w:hAnsi="Times New Roman" w:cs="Times New Roman"/>
          <w:b/>
          <w:bCs/>
          <w:szCs w:val="24"/>
        </w:rPr>
        <w:t>1</w:t>
      </w:r>
      <w:r w:rsidR="001714F9">
        <w:rPr>
          <w:rFonts w:ascii="Times New Roman" w:hAnsi="Times New Roman" w:cs="Times New Roman"/>
          <w:b/>
          <w:bCs/>
          <w:szCs w:val="24"/>
        </w:rPr>
        <w:t>5</w:t>
      </w:r>
      <w:r w:rsidR="001714F9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433E0D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14:paraId="776883B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7F91CE68" w14:textId="77777777"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17A85E33" w14:textId="77777777" w:rsidR="0096613E" w:rsidRDefault="0096613E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31328C17" w14:textId="77777777" w:rsidR="008D77F2" w:rsidRPr="00B26480" w:rsidRDefault="00B26480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D83">
        <w:rPr>
          <w:rFonts w:ascii="Times New Roman" w:hAnsi="Times New Roman" w:cs="Times New Roman"/>
          <w:b/>
          <w:bCs/>
          <w:i/>
          <w:sz w:val="24"/>
          <w:szCs w:val="24"/>
        </w:rPr>
        <w:t>Na zasadnutí boli prítomní:</w:t>
      </w:r>
      <w:r w:rsidRPr="00B26480">
        <w:rPr>
          <w:rFonts w:ascii="Times New Roman" w:hAnsi="Times New Roman" w:cs="Times New Roman"/>
          <w:bCs/>
          <w:sz w:val="24"/>
          <w:szCs w:val="24"/>
        </w:rPr>
        <w:t xml:space="preserve"> František LORINC, starosta obce </w:t>
      </w:r>
    </w:p>
    <w:p w14:paraId="7B3525B8" w14:textId="4F01296A" w:rsidR="00581B15" w:rsidRDefault="00B26480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D6D83">
        <w:rPr>
          <w:rFonts w:ascii="Times New Roman" w:hAnsi="Times New Roman" w:cs="Times New Roman"/>
          <w:b/>
          <w:i/>
          <w:sz w:val="24"/>
          <w:szCs w:val="24"/>
        </w:rPr>
        <w:t>Poslanci Obecného zastupiteľstva:</w:t>
      </w:r>
      <w:r>
        <w:rPr>
          <w:rFonts w:ascii="Times New Roman" w:hAnsi="Times New Roman" w:cs="Times New Roman"/>
          <w:sz w:val="24"/>
          <w:szCs w:val="24"/>
        </w:rPr>
        <w:t xml:space="preserve"> Peter Ferko, Štefan Ferko</w:t>
      </w:r>
      <w:r w:rsidR="00FC29EC">
        <w:rPr>
          <w:rFonts w:ascii="Times New Roman" w:hAnsi="Times New Roman" w:cs="Times New Roman"/>
          <w:sz w:val="24"/>
          <w:szCs w:val="24"/>
        </w:rPr>
        <w:t>,</w:t>
      </w:r>
      <w:r w:rsidR="003666E4">
        <w:rPr>
          <w:rFonts w:ascii="Times New Roman" w:hAnsi="Times New Roman" w:cs="Times New Roman"/>
          <w:sz w:val="24"/>
          <w:szCs w:val="24"/>
        </w:rPr>
        <w:t xml:space="preserve"> František Ferko</w:t>
      </w:r>
      <w:r w:rsidR="001714F9">
        <w:rPr>
          <w:rFonts w:ascii="Times New Roman" w:hAnsi="Times New Roman" w:cs="Times New Roman"/>
          <w:sz w:val="24"/>
          <w:szCs w:val="24"/>
        </w:rPr>
        <w:t>, Michal Svat</w:t>
      </w:r>
    </w:p>
    <w:p w14:paraId="40F4FC1B" w14:textId="2F0963FC" w:rsidR="008E6651" w:rsidRDefault="008E6651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E6651">
        <w:rPr>
          <w:rFonts w:ascii="Times New Roman" w:hAnsi="Times New Roman" w:cs="Times New Roman"/>
          <w:b/>
          <w:i/>
          <w:sz w:val="24"/>
          <w:szCs w:val="24"/>
        </w:rPr>
        <w:t>Neprítomní: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651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Pr="008E6651">
        <w:rPr>
          <w:rFonts w:ascii="Times New Roman" w:hAnsi="Times New Roman" w:cs="Times New Roman"/>
          <w:sz w:val="24"/>
          <w:szCs w:val="24"/>
        </w:rPr>
        <w:t>Pohlodko</w:t>
      </w:r>
      <w:proofErr w:type="spellEnd"/>
    </w:p>
    <w:p w14:paraId="287D5815" w14:textId="77672657" w:rsidR="003C4D1A" w:rsidRDefault="003C4D1A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2009DC1" w14:textId="77777777" w:rsidR="007D493A" w:rsidRDefault="007D493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0E43B" w14:textId="77777777" w:rsidR="008D77F2" w:rsidRDefault="008D77F2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b/>
          <w:bCs/>
          <w:sz w:val="24"/>
          <w:szCs w:val="24"/>
        </w:rPr>
        <w:t>P r o g r a m</w:t>
      </w:r>
      <w:r w:rsidRPr="008D77F2">
        <w:rPr>
          <w:rFonts w:ascii="Times New Roman" w:hAnsi="Times New Roman" w:cs="Times New Roman"/>
          <w:sz w:val="24"/>
          <w:szCs w:val="24"/>
        </w:rPr>
        <w:t>:</w:t>
      </w:r>
    </w:p>
    <w:p w14:paraId="5535896D" w14:textId="77777777" w:rsidR="00433E0D" w:rsidRDefault="00433E0D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F92336A" w14:textId="77777777" w:rsidR="00433E0D" w:rsidRPr="00433E0D" w:rsidRDefault="00433E0D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33E0D">
        <w:rPr>
          <w:rFonts w:ascii="Times New Roman" w:hAnsi="Times New Roman" w:cs="Times New Roman"/>
          <w:b/>
          <w:sz w:val="24"/>
          <w:szCs w:val="24"/>
        </w:rPr>
        <w:t>Otvorenie zasadnutia OZ</w:t>
      </w:r>
    </w:p>
    <w:p w14:paraId="66CB2EF7" w14:textId="77777777" w:rsidR="00433E0D" w:rsidRPr="00433E0D" w:rsidRDefault="00433E0D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33E0D">
        <w:rPr>
          <w:rFonts w:ascii="Times New Roman" w:hAnsi="Times New Roman" w:cs="Times New Roman"/>
          <w:b/>
          <w:sz w:val="24"/>
          <w:szCs w:val="24"/>
        </w:rPr>
        <w:t>Určenie zapisovateľa a overovateľov zápisnice</w:t>
      </w:r>
    </w:p>
    <w:p w14:paraId="1BD5A22F" w14:textId="77777777" w:rsidR="00433E0D" w:rsidRPr="00433E0D" w:rsidRDefault="00433E0D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33E0D">
        <w:rPr>
          <w:rFonts w:ascii="Times New Roman" w:hAnsi="Times New Roman" w:cs="Times New Roman"/>
          <w:b/>
          <w:sz w:val="24"/>
          <w:szCs w:val="24"/>
        </w:rPr>
        <w:t>Schválenie programu rokovania</w:t>
      </w:r>
    </w:p>
    <w:p w14:paraId="6DBBA07D" w14:textId="77777777" w:rsidR="00433E0D" w:rsidRPr="00433E0D" w:rsidRDefault="00433E0D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33E0D">
        <w:rPr>
          <w:rFonts w:ascii="Times New Roman" w:hAnsi="Times New Roman" w:cs="Times New Roman"/>
          <w:b/>
          <w:sz w:val="24"/>
          <w:szCs w:val="24"/>
        </w:rPr>
        <w:t>Kontrola plnenia uznesení</w:t>
      </w:r>
    </w:p>
    <w:p w14:paraId="61D352C2" w14:textId="608EE39C" w:rsidR="001714F9" w:rsidRDefault="001714F9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Úprava rozpočtu obce a</w:t>
      </w:r>
      <w:r w:rsidR="00FD5260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školy</w:t>
      </w:r>
    </w:p>
    <w:p w14:paraId="0CAD8E5A" w14:textId="0FBAFB1E" w:rsidR="00FD5260" w:rsidRDefault="00FD5260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Vysporiadanie miestnej komunikácie</w:t>
      </w:r>
    </w:p>
    <w:p w14:paraId="391A44FE" w14:textId="75FC0EDE" w:rsidR="00433E0D" w:rsidRPr="00433E0D" w:rsidRDefault="00433E0D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33E0D">
        <w:rPr>
          <w:rFonts w:ascii="Times New Roman" w:hAnsi="Times New Roman" w:cs="Times New Roman"/>
          <w:b/>
          <w:sz w:val="24"/>
          <w:szCs w:val="24"/>
        </w:rPr>
        <w:t>R</w:t>
      </w:r>
      <w:r w:rsidR="00CB1A2C">
        <w:rPr>
          <w:rFonts w:ascii="Times New Roman" w:hAnsi="Times New Roman" w:cs="Times New Roman"/>
          <w:b/>
          <w:sz w:val="24"/>
          <w:szCs w:val="24"/>
        </w:rPr>
        <w:t>ôzne</w:t>
      </w:r>
    </w:p>
    <w:p w14:paraId="405356D2" w14:textId="3ABC615E" w:rsidR="003C4D1A" w:rsidRDefault="003C4D1A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</w:t>
      </w:r>
    </w:p>
    <w:p w14:paraId="00939858" w14:textId="77777777" w:rsidR="003C4D1A" w:rsidRDefault="003C4D1A" w:rsidP="002372B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1C0D1037" w14:textId="77777777" w:rsidR="003C4D1A" w:rsidRDefault="003C4D1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267AD" w14:textId="77777777" w:rsidR="00934BD4" w:rsidRDefault="00934BD4" w:rsidP="00934BD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B700614" w14:textId="77777777" w:rsidR="00934BD4" w:rsidRPr="00825DBD" w:rsidRDefault="00934BD4" w:rsidP="005621D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>Otvorenie zasadnutia</w:t>
      </w:r>
      <w:r w:rsidR="00825DBD"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Obecného zastupiteľstva</w:t>
      </w:r>
    </w:p>
    <w:p w14:paraId="03A609E2" w14:textId="77777777" w:rsidR="00FC29EC" w:rsidRDefault="00260594" w:rsidP="00FC29E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</w:t>
      </w:r>
      <w:r w:rsidR="002D5554">
        <w:rPr>
          <w:rFonts w:ascii="Times New Roman" w:hAnsi="Times New Roman" w:cs="Times New Roman"/>
          <w:sz w:val="24"/>
          <w:szCs w:val="24"/>
        </w:rPr>
        <w:t>O</w:t>
      </w:r>
      <w:r w:rsidR="008D77F2" w:rsidRPr="0008051D">
        <w:rPr>
          <w:rFonts w:ascii="Times New Roman" w:hAnsi="Times New Roman" w:cs="Times New Roman"/>
          <w:sz w:val="24"/>
          <w:szCs w:val="24"/>
        </w:rPr>
        <w:t>becného zastupiteľstva</w:t>
      </w:r>
      <w:r w:rsidR="005D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2D5554">
        <w:rPr>
          <w:rFonts w:ascii="Times New Roman" w:hAnsi="Times New Roman" w:cs="Times New Roman"/>
          <w:sz w:val="24"/>
          <w:szCs w:val="24"/>
        </w:rPr>
        <w:t>Tuhrin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D08EF">
        <w:rPr>
          <w:rFonts w:ascii="Times New Roman" w:hAnsi="Times New Roman" w:cs="Times New Roman"/>
          <w:sz w:val="24"/>
          <w:szCs w:val="24"/>
        </w:rPr>
        <w:t>(ďalej len „OZ“)</w:t>
      </w:r>
      <w:r w:rsidR="008D77F2" w:rsidRPr="0008051D">
        <w:rPr>
          <w:rFonts w:ascii="Times New Roman" w:hAnsi="Times New Roman" w:cs="Times New Roman"/>
          <w:sz w:val="24"/>
          <w:szCs w:val="24"/>
        </w:rPr>
        <w:t xml:space="preserve"> </w:t>
      </w:r>
      <w:r w:rsidR="00857C24">
        <w:rPr>
          <w:rFonts w:ascii="Times New Roman" w:hAnsi="Times New Roman" w:cs="Times New Roman"/>
          <w:sz w:val="24"/>
          <w:szCs w:val="24"/>
        </w:rPr>
        <w:t>otvoril</w:t>
      </w:r>
      <w:r>
        <w:rPr>
          <w:rFonts w:ascii="Times New Roman" w:hAnsi="Times New Roman" w:cs="Times New Roman"/>
          <w:sz w:val="24"/>
          <w:szCs w:val="24"/>
        </w:rPr>
        <w:t xml:space="preserve"> a viedol</w:t>
      </w:r>
      <w:r w:rsidR="00857C24">
        <w:rPr>
          <w:rFonts w:ascii="Times New Roman" w:hAnsi="Times New Roman" w:cs="Times New Roman"/>
          <w:sz w:val="24"/>
          <w:szCs w:val="24"/>
        </w:rPr>
        <w:t xml:space="preserve"> </w:t>
      </w:r>
      <w:r w:rsidR="002D5554">
        <w:rPr>
          <w:rFonts w:ascii="Times New Roman" w:hAnsi="Times New Roman" w:cs="Times New Roman"/>
          <w:sz w:val="24"/>
          <w:szCs w:val="24"/>
        </w:rPr>
        <w:t>František LORINC, starosta obc</w:t>
      </w:r>
      <w:r>
        <w:rPr>
          <w:rFonts w:ascii="Times New Roman" w:hAnsi="Times New Roman" w:cs="Times New Roman"/>
          <w:sz w:val="24"/>
          <w:szCs w:val="24"/>
        </w:rPr>
        <w:t>e, ktorý privítal prítomných poslancov. Na zasadnutí bol</w:t>
      </w:r>
      <w:r w:rsidR="004C6B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prítomní </w:t>
      </w:r>
      <w:r w:rsidR="003666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poslanci, preto bolo konštatované, že obecné zasadnutie je uznášaniaschopné. </w:t>
      </w:r>
    </w:p>
    <w:p w14:paraId="13D5DAB4" w14:textId="77777777" w:rsidR="00FC29EC" w:rsidRDefault="00FC29EC" w:rsidP="00FC29E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33D654" w14:textId="77777777" w:rsidR="00157A7B" w:rsidRDefault="00B26480" w:rsidP="00FC29EC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Určenie zapisovateľa a overovateľov zápisnice </w:t>
      </w:r>
    </w:p>
    <w:p w14:paraId="3FD017C9" w14:textId="4FE70508" w:rsidR="00433E0D" w:rsidRDefault="00433E0D" w:rsidP="00433E0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urči za zapisovateľa: Mgr. Michaelu Chovancovú</w:t>
      </w:r>
    </w:p>
    <w:p w14:paraId="75B20B0F" w14:textId="3D1C25CC" w:rsidR="00260594" w:rsidRPr="00433E0D" w:rsidRDefault="00260594" w:rsidP="00433E0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33E0D">
        <w:rPr>
          <w:rFonts w:ascii="Times New Roman" w:hAnsi="Times New Roman" w:cs="Times New Roman"/>
          <w:sz w:val="24"/>
          <w:szCs w:val="24"/>
        </w:rPr>
        <w:t>OZ určilo overovateľ</w:t>
      </w:r>
      <w:r w:rsidR="00FC29EC" w:rsidRPr="00433E0D">
        <w:rPr>
          <w:rFonts w:ascii="Times New Roman" w:hAnsi="Times New Roman" w:cs="Times New Roman"/>
          <w:sz w:val="24"/>
          <w:szCs w:val="24"/>
        </w:rPr>
        <w:t>ov</w:t>
      </w:r>
      <w:r w:rsidRPr="00433E0D">
        <w:rPr>
          <w:rFonts w:ascii="Times New Roman" w:hAnsi="Times New Roman" w:cs="Times New Roman"/>
          <w:sz w:val="24"/>
          <w:szCs w:val="24"/>
        </w:rPr>
        <w:t xml:space="preserve"> zápisnice: </w:t>
      </w:r>
      <w:r w:rsidR="004C6BD1" w:rsidRPr="00433E0D">
        <w:rPr>
          <w:rFonts w:ascii="Times New Roman" w:hAnsi="Times New Roman" w:cs="Times New Roman"/>
          <w:sz w:val="24"/>
          <w:szCs w:val="24"/>
        </w:rPr>
        <w:t>Peter</w:t>
      </w:r>
      <w:r w:rsidR="00FC29EC" w:rsidRPr="00433E0D">
        <w:rPr>
          <w:rFonts w:ascii="Times New Roman" w:hAnsi="Times New Roman" w:cs="Times New Roman"/>
          <w:sz w:val="24"/>
          <w:szCs w:val="24"/>
        </w:rPr>
        <w:t xml:space="preserve"> Ferko</w:t>
      </w:r>
      <w:r w:rsidR="001714F9">
        <w:rPr>
          <w:rFonts w:ascii="Times New Roman" w:hAnsi="Times New Roman" w:cs="Times New Roman"/>
          <w:sz w:val="24"/>
          <w:szCs w:val="24"/>
        </w:rPr>
        <w:t>, Michal Svat</w:t>
      </w:r>
    </w:p>
    <w:p w14:paraId="4A5F47A5" w14:textId="77777777" w:rsidR="00E515CB" w:rsidRDefault="00581B15" w:rsidP="00E515C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C4EE5" w14:textId="77777777" w:rsidR="0008051D" w:rsidRPr="0008051D" w:rsidRDefault="00260594" w:rsidP="00E515CB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Schválenie programu rokovania</w:t>
      </w:r>
    </w:p>
    <w:p w14:paraId="5958659B" w14:textId="764CB275" w:rsidR="00161D40" w:rsidRPr="00CB1A2C" w:rsidRDefault="00642208" w:rsidP="00CB1A2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predniesol návrh programu </w:t>
      </w:r>
      <w:r w:rsidR="008E6651">
        <w:rPr>
          <w:rFonts w:ascii="Times New Roman" w:hAnsi="Times New Roman" w:cs="Times New Roman"/>
          <w:sz w:val="24"/>
          <w:szCs w:val="24"/>
        </w:rPr>
        <w:t xml:space="preserve">zo zasadnutia OZ, zo dňa </w:t>
      </w:r>
      <w:r w:rsidR="001714F9">
        <w:rPr>
          <w:rFonts w:ascii="Times New Roman" w:hAnsi="Times New Roman" w:cs="Times New Roman"/>
          <w:sz w:val="24"/>
          <w:szCs w:val="24"/>
        </w:rPr>
        <w:t>1</w:t>
      </w:r>
      <w:r w:rsidR="00433E0D">
        <w:rPr>
          <w:rFonts w:ascii="Times New Roman" w:hAnsi="Times New Roman" w:cs="Times New Roman"/>
          <w:sz w:val="24"/>
          <w:szCs w:val="24"/>
        </w:rPr>
        <w:t>.</w:t>
      </w:r>
      <w:r w:rsidR="00CB1A2C">
        <w:rPr>
          <w:rFonts w:ascii="Times New Roman" w:hAnsi="Times New Roman" w:cs="Times New Roman"/>
          <w:sz w:val="24"/>
          <w:szCs w:val="24"/>
        </w:rPr>
        <w:t>2</w:t>
      </w:r>
      <w:r w:rsidR="00433E0D">
        <w:rPr>
          <w:rFonts w:ascii="Times New Roman" w:hAnsi="Times New Roman" w:cs="Times New Roman"/>
          <w:sz w:val="24"/>
          <w:szCs w:val="24"/>
        </w:rPr>
        <w:t>.202</w:t>
      </w:r>
      <w:r w:rsidR="001714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ktorý bol zverejnený v pozvánke OZ. K návrhu programu OZ poslanci nevzniesli žiadne pripomienky a program zasadnutia schválili.</w:t>
      </w:r>
    </w:p>
    <w:p w14:paraId="6FB7C2ED" w14:textId="77777777" w:rsidR="00161D40" w:rsidRDefault="00161D40" w:rsidP="001714F9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05AD7D" w14:textId="5B660D64" w:rsidR="00433E0D" w:rsidRDefault="003666E4" w:rsidP="00433E0D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051D">
        <w:rPr>
          <w:rFonts w:ascii="Times New Roman" w:hAnsi="Times New Roman" w:cs="Times New Roman"/>
          <w:b/>
          <w:bCs/>
          <w:sz w:val="24"/>
          <w:szCs w:val="24"/>
          <w:u w:val="single"/>
        </w:rPr>
        <w:t>Kontrola plnenia uznesenia</w:t>
      </w:r>
    </w:p>
    <w:p w14:paraId="6AD06263" w14:textId="77777777" w:rsidR="00CB1A2C" w:rsidRDefault="00CB1A2C" w:rsidP="00CB1A2C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051D">
        <w:rPr>
          <w:rFonts w:ascii="Times New Roman" w:hAnsi="Times New Roman" w:cs="Times New Roman"/>
          <w:sz w:val="24"/>
          <w:szCs w:val="24"/>
        </w:rPr>
        <w:t>Správu o plnení uznesenia predniesol starosta obce, ktorý povedal, že uznesenie prijaté na predchádzajúcom rokovaní obecného zastupiteľstva bol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051D">
        <w:rPr>
          <w:rFonts w:ascii="Times New Roman" w:hAnsi="Times New Roman" w:cs="Times New Roman"/>
          <w:sz w:val="24"/>
          <w:szCs w:val="24"/>
        </w:rPr>
        <w:t xml:space="preserve"> načas a v plnom rozsahu spl</w:t>
      </w:r>
      <w:r>
        <w:rPr>
          <w:rFonts w:ascii="Times New Roman" w:hAnsi="Times New Roman" w:cs="Times New Roman"/>
          <w:sz w:val="24"/>
          <w:szCs w:val="24"/>
        </w:rPr>
        <w:t>nené</w:t>
      </w:r>
      <w:r w:rsidRPr="0008051D">
        <w:rPr>
          <w:rFonts w:ascii="Times New Roman" w:hAnsi="Times New Roman" w:cs="Times New Roman"/>
          <w:sz w:val="24"/>
          <w:szCs w:val="24"/>
        </w:rPr>
        <w:t>. Na základe tohto ubezpečenia neboli prijaté žiadne opatrenia.</w:t>
      </w:r>
    </w:p>
    <w:p w14:paraId="1DC03374" w14:textId="77777777" w:rsidR="00433E0D" w:rsidRPr="00F33E60" w:rsidRDefault="00433E0D" w:rsidP="00CB1A2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sk-SK"/>
        </w:rPr>
      </w:pPr>
    </w:p>
    <w:p w14:paraId="2A981D07" w14:textId="40D6A164" w:rsidR="00CB1A2C" w:rsidRDefault="001714F9" w:rsidP="001714F9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Úprava rozpočtu obce </w:t>
      </w:r>
    </w:p>
    <w:p w14:paraId="04FA44EF" w14:textId="5068C893" w:rsidR="001714F9" w:rsidRDefault="001714F9" w:rsidP="001714F9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714F9">
        <w:rPr>
          <w:rFonts w:ascii="Times New Roman" w:hAnsi="Times New Roman" w:cs="Times New Roman"/>
          <w:sz w:val="24"/>
          <w:szCs w:val="24"/>
        </w:rPr>
        <w:t xml:space="preserve">Obci v roku 2023prišlo z Úradu vlády SR rozhodnutie o neschválení žiadosti o poskytnutie NFP – Miestna občianska a preventívna služba v obci Tuhrina. </w:t>
      </w:r>
      <w:r>
        <w:rPr>
          <w:rFonts w:ascii="Times New Roman" w:hAnsi="Times New Roman" w:cs="Times New Roman"/>
          <w:sz w:val="24"/>
          <w:szCs w:val="24"/>
        </w:rPr>
        <w:t xml:space="preserve">O rok nato dňa 16.1.2024 prišlo z Úradu vlády SR rozhodnutie o zmene rozhodnutia – schvaľuje </w:t>
      </w:r>
      <w:r w:rsidR="00A03187">
        <w:rPr>
          <w:rFonts w:ascii="Times New Roman" w:hAnsi="Times New Roman" w:cs="Times New Roman"/>
          <w:sz w:val="24"/>
          <w:szCs w:val="24"/>
        </w:rPr>
        <w:t>poskytnutie</w:t>
      </w:r>
      <w:r>
        <w:rPr>
          <w:rFonts w:ascii="Times New Roman" w:hAnsi="Times New Roman" w:cs="Times New Roman"/>
          <w:sz w:val="24"/>
          <w:szCs w:val="24"/>
        </w:rPr>
        <w:t xml:space="preserve"> NFP – Miesta občianska a preventívna služba v obci Tuhrina vo výške 166 744,66 na 30 mesiacov. </w:t>
      </w:r>
      <w:r w:rsidR="00A03187">
        <w:rPr>
          <w:rFonts w:ascii="Times New Roman" w:hAnsi="Times New Roman" w:cs="Times New Roman"/>
          <w:sz w:val="24"/>
          <w:szCs w:val="24"/>
        </w:rPr>
        <w:t>Keďže obec pri schvaľovaní – návrhu rozpočtu na rok 2024 nezarátala tento NFP do rozpočtu je potrebné po schválení rozhodnutia o zmene rozhodnutia, schváliť úpravu rozpočtu o položku mzdy a odvody na rok 2024 o túto položku – Rozpočtové opatrenie.</w:t>
      </w:r>
      <w:r w:rsidR="00F91B0F">
        <w:rPr>
          <w:rFonts w:ascii="Times New Roman" w:hAnsi="Times New Roman" w:cs="Times New Roman"/>
          <w:sz w:val="24"/>
          <w:szCs w:val="24"/>
        </w:rPr>
        <w:t xml:space="preserve"> Poslanci sa dohodli, aby zamestnanci </w:t>
      </w:r>
      <w:proofErr w:type="spellStart"/>
      <w:r w:rsidR="00F91B0F">
        <w:rPr>
          <w:rFonts w:ascii="Times New Roman" w:hAnsi="Times New Roman" w:cs="Times New Roman"/>
          <w:sz w:val="24"/>
          <w:szCs w:val="24"/>
        </w:rPr>
        <w:t>MOaPS</w:t>
      </w:r>
      <w:proofErr w:type="spellEnd"/>
      <w:r w:rsidR="00F91B0F">
        <w:rPr>
          <w:rFonts w:ascii="Times New Roman" w:hAnsi="Times New Roman" w:cs="Times New Roman"/>
          <w:sz w:val="24"/>
          <w:szCs w:val="24"/>
        </w:rPr>
        <w:t xml:space="preserve"> boli prijatí na rok a potom noví</w:t>
      </w:r>
      <w:bookmarkStart w:id="0" w:name="_GoBack"/>
      <w:bookmarkEnd w:id="0"/>
      <w:r w:rsidR="00F91B0F">
        <w:rPr>
          <w:rFonts w:ascii="Times New Roman" w:hAnsi="Times New Roman" w:cs="Times New Roman"/>
          <w:sz w:val="24"/>
          <w:szCs w:val="24"/>
        </w:rPr>
        <w:t xml:space="preserve">, aby sa to </w:t>
      </w:r>
      <w:proofErr w:type="spellStart"/>
      <w:r w:rsidR="00F91B0F">
        <w:rPr>
          <w:rFonts w:ascii="Times New Roman" w:hAnsi="Times New Roman" w:cs="Times New Roman"/>
          <w:sz w:val="24"/>
          <w:szCs w:val="24"/>
        </w:rPr>
        <w:t>prestriedalo</w:t>
      </w:r>
      <w:proofErr w:type="spellEnd"/>
    </w:p>
    <w:p w14:paraId="6DFEAA6D" w14:textId="650AD462" w:rsidR="00A03187" w:rsidRDefault="00A03187" w:rsidP="001714F9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91B0F">
        <w:rPr>
          <w:rFonts w:ascii="Times New Roman" w:hAnsi="Times New Roman" w:cs="Times New Roman"/>
          <w:sz w:val="24"/>
          <w:szCs w:val="24"/>
          <w:u w:val="single"/>
        </w:rPr>
        <w:t>Úprava rozpočtu školy na rok 2024</w:t>
      </w:r>
      <w:r>
        <w:rPr>
          <w:rFonts w:ascii="Times New Roman" w:hAnsi="Times New Roman" w:cs="Times New Roman"/>
          <w:sz w:val="24"/>
          <w:szCs w:val="24"/>
        </w:rPr>
        <w:t xml:space="preserve">- Na základe rozpisu normatívnych finančných prostriedkov na rok 2024 (konkrétne výdavky na osobné a prevádzkové náklady), ktoré neboli uvedené v návrhu rozpočtu na rok 2024. A podklady k týmto prostriedkom prišli až v novom roku je potrebné upraviť rozpočet – Rozpočtové opatrenie. </w:t>
      </w:r>
    </w:p>
    <w:p w14:paraId="6B82A68A" w14:textId="48B532D2" w:rsidR="00A03187" w:rsidRPr="001714F9" w:rsidRDefault="00A03187" w:rsidP="001714F9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0FB8">
        <w:rPr>
          <w:rFonts w:ascii="Times New Roman" w:hAnsi="Times New Roman" w:cs="Times New Roman"/>
          <w:bCs/>
          <w:sz w:val="24"/>
          <w:szCs w:val="24"/>
        </w:rPr>
        <w:t>Obecné zastupiteľstvo na svojom zasadnutí, schválilo úpravu rozpočtu na rok</w:t>
      </w:r>
      <w:r>
        <w:rPr>
          <w:rFonts w:ascii="Times New Roman" w:hAnsi="Times New Roman" w:cs="Times New Roman"/>
          <w:bCs/>
          <w:sz w:val="24"/>
          <w:szCs w:val="24"/>
        </w:rPr>
        <w:t xml:space="preserve"> 2024.</w:t>
      </w:r>
    </w:p>
    <w:p w14:paraId="29749DC5" w14:textId="10741231" w:rsidR="00680FB8" w:rsidRDefault="00A03187" w:rsidP="00433E0D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Vysporiadanie miestnej komunikácie</w:t>
      </w:r>
    </w:p>
    <w:p w14:paraId="2D549A40" w14:textId="561EB36A" w:rsidR="003F2AE3" w:rsidRDefault="00FD5260" w:rsidP="003F2AE3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Starosta obce oboznámil obecné zastupiteľstvo o vysporiadaní pozemkov pod miestnou komunikáciou – v časti kde býva p.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Tartaľová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Pavel, Svat. </w:t>
      </w:r>
    </w:p>
    <w:p w14:paraId="5208D3B7" w14:textId="77777777" w:rsidR="00FD5260" w:rsidRPr="00FD5260" w:rsidRDefault="00FD5260" w:rsidP="00FD5260">
      <w:pPr>
        <w:pStyle w:val="Bezriadkovania"/>
        <w:ind w:left="708"/>
        <w:jc w:val="both"/>
        <w:rPr>
          <w:rFonts w:ascii="Times New Roman" w:hAnsi="Times New Roman" w:cs="Times New Roman"/>
          <w:sz w:val="24"/>
        </w:rPr>
      </w:pPr>
      <w:r w:rsidRPr="00FD5260">
        <w:rPr>
          <w:rFonts w:ascii="Times New Roman" w:hAnsi="Times New Roman" w:cs="Times New Roman"/>
          <w:sz w:val="24"/>
        </w:rPr>
        <w:t xml:space="preserve">Uvedené pozemky obec na základe zákona č. 369/1990 Z.Z. o obecnom zriadení nemôže riadne užívať, udržiavať miestnu komunikáciu, udržiavať priekopu okolo nej, kosiť okolo komunikácie nechať vyvážať z uvedenej lokality komunálny odpad) nakoľko sa jedná o súkromné pozemky do ktorých obec zo zákona nemôže nijako investovať. </w:t>
      </w:r>
    </w:p>
    <w:p w14:paraId="37AEE933" w14:textId="780D9CF2" w:rsidR="00FD5260" w:rsidRPr="00FD5260" w:rsidRDefault="00FD5260" w:rsidP="00FD5260">
      <w:pPr>
        <w:pStyle w:val="Bezriadkovania"/>
        <w:ind w:left="708"/>
        <w:jc w:val="both"/>
        <w:rPr>
          <w:rFonts w:ascii="Times New Roman" w:hAnsi="Times New Roman" w:cs="Times New Roman"/>
          <w:sz w:val="24"/>
        </w:rPr>
      </w:pPr>
      <w:r w:rsidRPr="00FD5260">
        <w:rPr>
          <w:rFonts w:ascii="Times New Roman" w:hAnsi="Times New Roman" w:cs="Times New Roman"/>
          <w:sz w:val="24"/>
        </w:rPr>
        <w:t>Pracovné stretnutie sa uskutočnilo</w:t>
      </w:r>
      <w:r>
        <w:rPr>
          <w:rFonts w:ascii="Times New Roman" w:hAnsi="Times New Roman" w:cs="Times New Roman"/>
          <w:sz w:val="24"/>
        </w:rPr>
        <w:t xml:space="preserve"> dňa 19.1.2024 o 18:00 hod</w:t>
      </w:r>
      <w:r w:rsidRPr="00FD5260">
        <w:rPr>
          <w:rFonts w:ascii="Times New Roman" w:hAnsi="Times New Roman" w:cs="Times New Roman"/>
          <w:sz w:val="24"/>
        </w:rPr>
        <w:t xml:space="preserve"> v kľudnej a konštruktívnej atmosfére a dohodnuté boli nasledovné podmienky vysporiadania uvedených pozemkov všetkými zúčastnenými vlastníkmi.</w:t>
      </w:r>
    </w:p>
    <w:p w14:paraId="4C351B93" w14:textId="6DEFD337" w:rsidR="00FD5260" w:rsidRDefault="00FD5260" w:rsidP="00FD5260">
      <w:pPr>
        <w:pStyle w:val="Bezriadkovania"/>
        <w:ind w:left="708"/>
        <w:jc w:val="both"/>
        <w:rPr>
          <w:rFonts w:ascii="Times New Roman" w:hAnsi="Times New Roman" w:cs="Times New Roman"/>
          <w:sz w:val="24"/>
        </w:rPr>
      </w:pPr>
      <w:r w:rsidRPr="00FD5260">
        <w:rPr>
          <w:rFonts w:ascii="Times New Roman" w:hAnsi="Times New Roman" w:cs="Times New Roman"/>
          <w:sz w:val="24"/>
        </w:rPr>
        <w:t xml:space="preserve">Starosta obce pán František LORINC má za úlohu osloviť ďalších vlastníkov, ktorí sa pracovného stretnutia nemohli zúčastniť. Následne nechať vypracovať geometrický plán predmetnej komunikácie a nechať pripraviť kúpno-predajné zmluvy na každú parcelu, kde bola dohodnutá </w:t>
      </w:r>
      <w:proofErr w:type="spellStart"/>
      <w:r w:rsidRPr="00FD5260">
        <w:rPr>
          <w:rFonts w:ascii="Times New Roman" w:hAnsi="Times New Roman" w:cs="Times New Roman"/>
          <w:sz w:val="24"/>
        </w:rPr>
        <w:t>kúpno</w:t>
      </w:r>
      <w:proofErr w:type="spellEnd"/>
      <w:r w:rsidRPr="00FD5260">
        <w:rPr>
          <w:rFonts w:ascii="Times New Roman" w:hAnsi="Times New Roman" w:cs="Times New Roman"/>
          <w:sz w:val="24"/>
        </w:rPr>
        <w:t>–predajná cena symbolické 1 € za každého vlastníka ( nie za 1m</w:t>
      </w:r>
      <w:r w:rsidRPr="00FD5260">
        <w:rPr>
          <w:rFonts w:ascii="Times New Roman" w:hAnsi="Times New Roman" w:cs="Times New Roman"/>
          <w:sz w:val="24"/>
          <w:vertAlign w:val="superscript"/>
        </w:rPr>
        <w:t>2</w:t>
      </w:r>
      <w:r w:rsidRPr="00FD5260"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</w:rPr>
        <w:t xml:space="preserve"> Týka sa to pozemkov: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734"/>
        <w:gridCol w:w="3880"/>
      </w:tblGrid>
      <w:tr w:rsidR="00F91B0F" w:rsidRPr="00BC5DE1" w14:paraId="2D4D5E2C" w14:textId="77777777" w:rsidTr="00F91B0F">
        <w:trPr>
          <w:trHeight w:val="644"/>
          <w:jc w:val="center"/>
        </w:trPr>
        <w:tc>
          <w:tcPr>
            <w:tcW w:w="3734" w:type="dxa"/>
            <w:shd w:val="clear" w:color="auto" w:fill="FFFF00"/>
          </w:tcPr>
          <w:p w14:paraId="2A105DE2" w14:textId="77777777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b/>
                <w:sz w:val="24"/>
                <w:szCs w:val="24"/>
              </w:rPr>
              <w:t>Vlastník</w:t>
            </w:r>
          </w:p>
        </w:tc>
        <w:tc>
          <w:tcPr>
            <w:tcW w:w="3880" w:type="dxa"/>
            <w:shd w:val="clear" w:color="auto" w:fill="FFFF00"/>
          </w:tcPr>
          <w:p w14:paraId="50EE7D32" w14:textId="77777777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b/>
                <w:sz w:val="24"/>
                <w:szCs w:val="24"/>
              </w:rPr>
              <w:t>Parcela</w:t>
            </w:r>
          </w:p>
        </w:tc>
      </w:tr>
      <w:tr w:rsidR="00F91B0F" w:rsidRPr="00BC5DE1" w14:paraId="7FBB5A04" w14:textId="77777777" w:rsidTr="00F91B0F">
        <w:trPr>
          <w:jc w:val="center"/>
        </w:trPr>
        <w:tc>
          <w:tcPr>
            <w:tcW w:w="3734" w:type="dxa"/>
          </w:tcPr>
          <w:p w14:paraId="0C227A01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Oľga PETRILOVÁ</w:t>
            </w:r>
          </w:p>
        </w:tc>
        <w:tc>
          <w:tcPr>
            <w:tcW w:w="3880" w:type="dxa"/>
          </w:tcPr>
          <w:p w14:paraId="21AF3ECC" w14:textId="64991398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KNC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409/6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434</w:t>
            </w:r>
          </w:p>
        </w:tc>
      </w:tr>
      <w:tr w:rsidR="00F91B0F" w:rsidRPr="00BC5DE1" w14:paraId="76085135" w14:textId="77777777" w:rsidTr="00F91B0F">
        <w:trPr>
          <w:jc w:val="center"/>
        </w:trPr>
        <w:tc>
          <w:tcPr>
            <w:tcW w:w="3734" w:type="dxa"/>
          </w:tcPr>
          <w:p w14:paraId="51795219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Jolana ZUBKOVÁ</w:t>
            </w:r>
          </w:p>
        </w:tc>
        <w:tc>
          <w:tcPr>
            <w:tcW w:w="3880" w:type="dxa"/>
          </w:tcPr>
          <w:p w14:paraId="364F72A8" w14:textId="1F3CB044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KNC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409/6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434</w:t>
            </w:r>
          </w:p>
        </w:tc>
      </w:tr>
      <w:tr w:rsidR="00F91B0F" w:rsidRPr="00BC5DE1" w14:paraId="4221E583" w14:textId="77777777" w:rsidTr="00F91B0F">
        <w:trPr>
          <w:jc w:val="center"/>
        </w:trPr>
        <w:tc>
          <w:tcPr>
            <w:tcW w:w="3734" w:type="dxa"/>
          </w:tcPr>
          <w:p w14:paraId="382054CB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Dušan KRIŠTOF v zastúpení</w:t>
            </w:r>
          </w:p>
        </w:tc>
        <w:tc>
          <w:tcPr>
            <w:tcW w:w="3880" w:type="dxa"/>
          </w:tcPr>
          <w:p w14:paraId="4B61B102" w14:textId="2BAF3485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KNC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409/6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434</w:t>
            </w:r>
          </w:p>
        </w:tc>
      </w:tr>
      <w:tr w:rsidR="00F91B0F" w:rsidRPr="00BC5DE1" w14:paraId="0FCDB570" w14:textId="77777777" w:rsidTr="00F91B0F">
        <w:trPr>
          <w:jc w:val="center"/>
        </w:trPr>
        <w:tc>
          <w:tcPr>
            <w:tcW w:w="3734" w:type="dxa"/>
          </w:tcPr>
          <w:p w14:paraId="296E9919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Monika MIŠENČIKOVÁ</w:t>
            </w:r>
          </w:p>
        </w:tc>
        <w:tc>
          <w:tcPr>
            <w:tcW w:w="3880" w:type="dxa"/>
          </w:tcPr>
          <w:p w14:paraId="12F42B00" w14:textId="77FFA0B6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KNC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409/4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661</w:t>
            </w:r>
          </w:p>
        </w:tc>
      </w:tr>
      <w:tr w:rsidR="00F91B0F" w:rsidRPr="00BC5DE1" w14:paraId="166DFE45" w14:textId="77777777" w:rsidTr="00F91B0F">
        <w:trPr>
          <w:jc w:val="center"/>
        </w:trPr>
        <w:tc>
          <w:tcPr>
            <w:tcW w:w="3734" w:type="dxa"/>
          </w:tcPr>
          <w:p w14:paraId="61B6494D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Ľudmila GREGOVÁ v zastúpení</w:t>
            </w:r>
          </w:p>
        </w:tc>
        <w:tc>
          <w:tcPr>
            <w:tcW w:w="3880" w:type="dxa"/>
          </w:tcPr>
          <w:p w14:paraId="2926F0FB" w14:textId="6CD178A1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9/1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432</w:t>
            </w:r>
          </w:p>
        </w:tc>
      </w:tr>
      <w:tr w:rsidR="00F91B0F" w:rsidRPr="00BC5DE1" w14:paraId="69AE9564" w14:textId="77777777" w:rsidTr="00F91B0F">
        <w:trPr>
          <w:jc w:val="center"/>
        </w:trPr>
        <w:tc>
          <w:tcPr>
            <w:tcW w:w="3734" w:type="dxa"/>
          </w:tcPr>
          <w:p w14:paraId="14C06DC4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Dušan SVAT</w:t>
            </w:r>
          </w:p>
        </w:tc>
        <w:tc>
          <w:tcPr>
            <w:tcW w:w="3880" w:type="dxa"/>
          </w:tcPr>
          <w:p w14:paraId="353FC3BB" w14:textId="77777777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153/1</w:t>
            </w:r>
          </w:p>
        </w:tc>
      </w:tr>
      <w:tr w:rsidR="00F91B0F" w:rsidRPr="00BC5DE1" w14:paraId="48F31DD1" w14:textId="77777777" w:rsidTr="00F91B0F">
        <w:trPr>
          <w:jc w:val="center"/>
        </w:trPr>
        <w:tc>
          <w:tcPr>
            <w:tcW w:w="3734" w:type="dxa"/>
          </w:tcPr>
          <w:p w14:paraId="69A61716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Pavol GAĽA - telefonicky</w:t>
            </w:r>
          </w:p>
        </w:tc>
        <w:tc>
          <w:tcPr>
            <w:tcW w:w="3880" w:type="dxa"/>
          </w:tcPr>
          <w:p w14:paraId="23D08734" w14:textId="77777777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153/1</w:t>
            </w:r>
          </w:p>
        </w:tc>
      </w:tr>
      <w:tr w:rsidR="00F91B0F" w:rsidRPr="00BC5DE1" w14:paraId="1C697A41" w14:textId="77777777" w:rsidTr="00F91B0F">
        <w:trPr>
          <w:jc w:val="center"/>
        </w:trPr>
        <w:tc>
          <w:tcPr>
            <w:tcW w:w="3734" w:type="dxa"/>
          </w:tcPr>
          <w:p w14:paraId="31CBC8FF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Andrej POTOČŇÁK</w:t>
            </w:r>
          </w:p>
        </w:tc>
        <w:tc>
          <w:tcPr>
            <w:tcW w:w="3880" w:type="dxa"/>
          </w:tcPr>
          <w:p w14:paraId="71EAB1F4" w14:textId="3152AA72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138/1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305</w:t>
            </w:r>
          </w:p>
        </w:tc>
      </w:tr>
      <w:tr w:rsidR="00F91B0F" w:rsidRPr="00BC5DE1" w14:paraId="4397B617" w14:textId="77777777" w:rsidTr="00F91B0F">
        <w:trPr>
          <w:jc w:val="center"/>
        </w:trPr>
        <w:tc>
          <w:tcPr>
            <w:tcW w:w="3734" w:type="dxa"/>
          </w:tcPr>
          <w:p w14:paraId="1583C437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Magdaléna GLANKOVIČOVÁ</w:t>
            </w:r>
          </w:p>
        </w:tc>
        <w:tc>
          <w:tcPr>
            <w:tcW w:w="3880" w:type="dxa"/>
          </w:tcPr>
          <w:p w14:paraId="7B0B3916" w14:textId="48BB35F0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138/1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305</w:t>
            </w:r>
          </w:p>
        </w:tc>
      </w:tr>
      <w:tr w:rsidR="00F91B0F" w:rsidRPr="00BC5DE1" w14:paraId="6AAAB957" w14:textId="77777777" w:rsidTr="00F91B0F">
        <w:trPr>
          <w:jc w:val="center"/>
        </w:trPr>
        <w:tc>
          <w:tcPr>
            <w:tcW w:w="3734" w:type="dxa"/>
          </w:tcPr>
          <w:p w14:paraId="2E317416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Ľudmila CMUROVÁ v zastúpení</w:t>
            </w:r>
          </w:p>
        </w:tc>
        <w:tc>
          <w:tcPr>
            <w:tcW w:w="3880" w:type="dxa"/>
          </w:tcPr>
          <w:p w14:paraId="3A3F40C4" w14:textId="400AAB1D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138/1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305</w:t>
            </w:r>
          </w:p>
        </w:tc>
      </w:tr>
      <w:tr w:rsidR="00F91B0F" w:rsidRPr="00BC5DE1" w14:paraId="32D87B5C" w14:textId="77777777" w:rsidTr="00F91B0F">
        <w:trPr>
          <w:jc w:val="center"/>
        </w:trPr>
        <w:tc>
          <w:tcPr>
            <w:tcW w:w="3734" w:type="dxa"/>
          </w:tcPr>
          <w:p w14:paraId="32952C3A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Andrej VARGA</w:t>
            </w:r>
          </w:p>
        </w:tc>
        <w:tc>
          <w:tcPr>
            <w:tcW w:w="3880" w:type="dxa"/>
          </w:tcPr>
          <w:p w14:paraId="1FCE7CF2" w14:textId="1DE306B6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138/1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305</w:t>
            </w:r>
          </w:p>
        </w:tc>
      </w:tr>
      <w:tr w:rsidR="00F91B0F" w:rsidRPr="00BC5DE1" w14:paraId="65E0B074" w14:textId="77777777" w:rsidTr="00F91B0F">
        <w:trPr>
          <w:jc w:val="center"/>
        </w:trPr>
        <w:tc>
          <w:tcPr>
            <w:tcW w:w="3734" w:type="dxa"/>
          </w:tcPr>
          <w:p w14:paraId="36013B2F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Ján VARGA</w:t>
            </w:r>
          </w:p>
        </w:tc>
        <w:tc>
          <w:tcPr>
            <w:tcW w:w="3880" w:type="dxa"/>
          </w:tcPr>
          <w:p w14:paraId="68484DD8" w14:textId="4C46A2B3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138/1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305</w:t>
            </w:r>
          </w:p>
        </w:tc>
      </w:tr>
      <w:tr w:rsidR="00F91B0F" w:rsidRPr="00BC5DE1" w14:paraId="3E184D54" w14:textId="77777777" w:rsidTr="00F91B0F">
        <w:trPr>
          <w:jc w:val="center"/>
        </w:trPr>
        <w:tc>
          <w:tcPr>
            <w:tcW w:w="3734" w:type="dxa"/>
          </w:tcPr>
          <w:p w14:paraId="77DE4EBE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Petra POLÁKOVÁ</w:t>
            </w:r>
          </w:p>
        </w:tc>
        <w:tc>
          <w:tcPr>
            <w:tcW w:w="3880" w:type="dxa"/>
          </w:tcPr>
          <w:p w14:paraId="267FD1DA" w14:textId="182386BF" w:rsidR="00F91B0F" w:rsidRPr="00BC5DE1" w:rsidRDefault="00F91B0F" w:rsidP="00F9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LV 688 KNE 153/1 , LV 275 najprv ohraničiť novým geometrickým plánom pod komunikáciou a následne novovytvorené parcely pod komunikáciou odkúpiť. </w:t>
            </w:r>
          </w:p>
        </w:tc>
      </w:tr>
      <w:tr w:rsidR="00F91B0F" w:rsidRPr="00BC5DE1" w14:paraId="0C723022" w14:textId="77777777" w:rsidTr="00F91B0F">
        <w:trPr>
          <w:jc w:val="center"/>
        </w:trPr>
        <w:tc>
          <w:tcPr>
            <w:tcW w:w="3734" w:type="dxa"/>
          </w:tcPr>
          <w:p w14:paraId="455B629C" w14:textId="77777777" w:rsidR="00F91B0F" w:rsidRPr="00BC5DE1" w:rsidRDefault="00F91B0F" w:rsidP="00E9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Jakub JAČIŠIN</w:t>
            </w:r>
          </w:p>
        </w:tc>
        <w:tc>
          <w:tcPr>
            <w:tcW w:w="3880" w:type="dxa"/>
          </w:tcPr>
          <w:p w14:paraId="5DE2E55E" w14:textId="64802F9A" w:rsidR="00F91B0F" w:rsidRPr="00BC5DE1" w:rsidRDefault="00F91B0F" w:rsidP="00E9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KNE </w:t>
            </w:r>
            <w:r w:rsidRPr="00BC5DE1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LV 688</w:t>
            </w:r>
          </w:p>
        </w:tc>
      </w:tr>
    </w:tbl>
    <w:p w14:paraId="2486DBBE" w14:textId="77777777" w:rsidR="00FD5260" w:rsidRPr="00FD5260" w:rsidRDefault="00FD5260" w:rsidP="00FD5260">
      <w:pPr>
        <w:pStyle w:val="Bezriadkovania"/>
        <w:ind w:left="708"/>
        <w:jc w:val="both"/>
        <w:rPr>
          <w:rFonts w:ascii="Times New Roman" w:hAnsi="Times New Roman" w:cs="Times New Roman"/>
          <w:sz w:val="24"/>
        </w:rPr>
      </w:pPr>
    </w:p>
    <w:p w14:paraId="49A9E071" w14:textId="08160EF8" w:rsidR="00A83DDD" w:rsidRPr="001714F9" w:rsidRDefault="00A83DDD" w:rsidP="00A83DD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Obec potrebuje dať vypracovať geometrický plán, spraviť kúpno-predajné zmluvy, návrh na vklad na začatie konania o povolení vkladu práv k nehnuteľnosti do katastra nehnuteľností v lehote 30 dní  za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každú jednu zmluvu- 66 €.</w:t>
      </w:r>
      <w:r w:rsidR="00886423" w:rsidRPr="008864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6423" w:rsidRPr="00680FB8">
        <w:rPr>
          <w:rFonts w:ascii="Times New Roman" w:hAnsi="Times New Roman" w:cs="Times New Roman"/>
          <w:bCs/>
          <w:sz w:val="24"/>
          <w:szCs w:val="24"/>
        </w:rPr>
        <w:t xml:space="preserve">Obecné zastupiteľstvo </w:t>
      </w:r>
      <w:r w:rsidR="00886423">
        <w:rPr>
          <w:rFonts w:ascii="Times New Roman" w:hAnsi="Times New Roman" w:cs="Times New Roman"/>
          <w:bCs/>
          <w:sz w:val="24"/>
          <w:szCs w:val="24"/>
        </w:rPr>
        <w:t>súhlasilo s kúpou pozemkov od súkromných vlastníkov za symbolické 1 €.</w:t>
      </w:r>
    </w:p>
    <w:p w14:paraId="4134E12E" w14:textId="67E2434B" w:rsidR="00F10BD4" w:rsidRDefault="00FD5260" w:rsidP="00FD5260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Rôzne</w:t>
      </w:r>
    </w:p>
    <w:p w14:paraId="0154C784" w14:textId="77777777" w:rsidR="00886423" w:rsidRDefault="00FD5260" w:rsidP="00FD5260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7.1</w:t>
      </w:r>
      <w:r w:rsidR="00886423">
        <w:rPr>
          <w:rFonts w:ascii="Times New Roman" w:hAnsi="Times New Roman" w:cs="Times New Roman"/>
          <w:b/>
          <w:sz w:val="24"/>
          <w:szCs w:val="24"/>
          <w:u w:val="single"/>
        </w:rPr>
        <w:t xml:space="preserve"> Túlavé psy </w:t>
      </w:r>
    </w:p>
    <w:p w14:paraId="11E8FF9F" w14:textId="7A411A40" w:rsidR="00FD5260" w:rsidRDefault="00886423" w:rsidP="00FD5260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na podnet občanov informoval OZ o výskyte túlavých psov v časti kde býva MRK. Starosta obce skonštatoval, že obec je povinná viesť </w:t>
      </w:r>
      <w:r w:rsidR="008D1F34">
        <w:rPr>
          <w:rFonts w:ascii="Times New Roman" w:hAnsi="Times New Roman" w:cs="Times New Roman"/>
          <w:sz w:val="24"/>
          <w:szCs w:val="24"/>
        </w:rPr>
        <w:t>evidenciu</w:t>
      </w:r>
      <w:r>
        <w:rPr>
          <w:rFonts w:ascii="Times New Roman" w:hAnsi="Times New Roman" w:cs="Times New Roman"/>
          <w:sz w:val="24"/>
          <w:szCs w:val="24"/>
        </w:rPr>
        <w:t xml:space="preserve"> psov so známkami. Tieto psy  sa nenachádzajú v</w:t>
      </w:r>
      <w:r w:rsidR="00AF7FC1">
        <w:rPr>
          <w:rFonts w:ascii="Times New Roman" w:hAnsi="Times New Roman" w:cs="Times New Roman"/>
          <w:sz w:val="24"/>
          <w:szCs w:val="24"/>
        </w:rPr>
        <w:t> </w:t>
      </w:r>
      <w:r w:rsidR="008D1F34">
        <w:rPr>
          <w:rFonts w:ascii="Times New Roman" w:hAnsi="Times New Roman" w:cs="Times New Roman"/>
          <w:sz w:val="24"/>
          <w:szCs w:val="24"/>
        </w:rPr>
        <w:t>evidencii</w:t>
      </w:r>
      <w:r w:rsidR="00AF7FC1">
        <w:rPr>
          <w:rFonts w:ascii="Times New Roman" w:hAnsi="Times New Roman" w:cs="Times New Roman"/>
          <w:sz w:val="24"/>
          <w:szCs w:val="24"/>
        </w:rPr>
        <w:t xml:space="preserve"> psov</w:t>
      </w:r>
      <w:r w:rsidR="00DF725E">
        <w:rPr>
          <w:rFonts w:ascii="Times New Roman" w:hAnsi="Times New Roman" w:cs="Times New Roman"/>
          <w:sz w:val="24"/>
          <w:szCs w:val="24"/>
        </w:rPr>
        <w:t>.</w:t>
      </w:r>
      <w:r w:rsidR="008D1F34">
        <w:rPr>
          <w:rFonts w:ascii="Times New Roman" w:hAnsi="Times New Roman" w:cs="Times New Roman"/>
          <w:sz w:val="24"/>
          <w:szCs w:val="24"/>
        </w:rPr>
        <w:t xml:space="preserve"> Starosta poznamenal, že ak by pes unikol z nezabezpečeného dvora a pohrýzol človeka, alebo zviera boli naplnené znaky skutkových podstát dvoch priestupkov podľa zákona o veterinárnej starostlivosti. Jedná sa o priestupok úniku zvieraťa podľa zákona o veterinárnej starostlivosti, ktorý je príslušný </w:t>
      </w:r>
      <w:proofErr w:type="spellStart"/>
      <w:r w:rsidR="008D1F34">
        <w:rPr>
          <w:rFonts w:ascii="Times New Roman" w:hAnsi="Times New Roman" w:cs="Times New Roman"/>
          <w:sz w:val="24"/>
          <w:szCs w:val="24"/>
        </w:rPr>
        <w:t>prejednať</w:t>
      </w:r>
      <w:proofErr w:type="spellEnd"/>
      <w:r w:rsidR="008D1F34">
        <w:rPr>
          <w:rFonts w:ascii="Times New Roman" w:hAnsi="Times New Roman" w:cs="Times New Roman"/>
          <w:sz w:val="24"/>
          <w:szCs w:val="24"/>
        </w:rPr>
        <w:t xml:space="preserve"> orgán veterinárnej správy. </w:t>
      </w:r>
      <w:r w:rsidR="00DF725E">
        <w:rPr>
          <w:rFonts w:ascii="Times New Roman" w:hAnsi="Times New Roman" w:cs="Times New Roman"/>
          <w:sz w:val="24"/>
          <w:szCs w:val="24"/>
        </w:rPr>
        <w:t xml:space="preserve"> </w:t>
      </w:r>
      <w:r w:rsidR="008D1F34">
        <w:rPr>
          <w:rFonts w:ascii="Times New Roman" w:hAnsi="Times New Roman" w:cs="Times New Roman"/>
          <w:sz w:val="24"/>
          <w:szCs w:val="24"/>
        </w:rPr>
        <w:t xml:space="preserve">Podľa </w:t>
      </w:r>
      <w:r w:rsidR="00AF7FC1">
        <w:rPr>
          <w:rFonts w:ascii="Times New Roman" w:hAnsi="Times New Roman" w:cs="Times New Roman"/>
          <w:sz w:val="24"/>
          <w:szCs w:val="24"/>
        </w:rPr>
        <w:t>§</w:t>
      </w:r>
      <w:r w:rsidR="008D1F34">
        <w:rPr>
          <w:rFonts w:ascii="Times New Roman" w:hAnsi="Times New Roman" w:cs="Times New Roman"/>
          <w:sz w:val="24"/>
          <w:szCs w:val="24"/>
        </w:rPr>
        <w:t xml:space="preserve"> 22 ods.8 zákona o veterinárnej starostlivosti držiteľ zvieraťa je povinný zabezpečiť opatrenia na zabránenie úniku zvieraťa, jeho neplánovaného rozmnožovania alebo nežiaduceho rozmnožovania. Ak tak neurobí dopúšťa sa tým priestupku podľa § 48 ods. 5 písm. h) zákona o veterinárnej starostlivosti a orgán veterinárnej správy mu uloží pokutu od 400 do 1000 Eur. Starosta obce upozornil poslancov na takýto skutkový stav</w:t>
      </w:r>
      <w:r w:rsidR="00AF7FC1">
        <w:rPr>
          <w:rFonts w:ascii="Times New Roman" w:hAnsi="Times New Roman" w:cs="Times New Roman"/>
          <w:sz w:val="24"/>
          <w:szCs w:val="24"/>
        </w:rPr>
        <w:t xml:space="preserve"> navrhol poslancom, aby informovali svojich občanov MRK, aby si</w:t>
      </w:r>
      <w:r w:rsidR="008D1F34">
        <w:rPr>
          <w:rFonts w:ascii="Times New Roman" w:hAnsi="Times New Roman" w:cs="Times New Roman"/>
          <w:sz w:val="24"/>
          <w:szCs w:val="24"/>
        </w:rPr>
        <w:t xml:space="preserve"> zabezpečili psov tak, aby im neušli z dvora a neohrozili ľudí navôkol. </w:t>
      </w:r>
      <w:r w:rsidR="00FD52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D85563B" w14:textId="13E7B16D" w:rsidR="003074E0" w:rsidRDefault="008D1F34" w:rsidP="003C4D1A">
      <w:pPr>
        <w:pStyle w:val="Bezriadkovania"/>
        <w:ind w:left="708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7</w:t>
      </w:r>
      <w:r w:rsidR="003074E0" w:rsidRPr="003074E0">
        <w:rPr>
          <w:rFonts w:ascii="Times New Roman" w:hAnsi="Times New Roman" w:cs="Times New Roman"/>
          <w:b/>
          <w:sz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u w:val="single"/>
        </w:rPr>
        <w:t>2 Odber vody</w:t>
      </w:r>
    </w:p>
    <w:p w14:paraId="3A8E6236" w14:textId="4EF71B9F" w:rsidR="008D1F34" w:rsidRDefault="008D1F34" w:rsidP="003C4D1A">
      <w:pPr>
        <w:pStyle w:val="Bezriadkovania"/>
        <w:ind w:left="708"/>
        <w:jc w:val="both"/>
        <w:rPr>
          <w:rFonts w:ascii="Times New Roman" w:hAnsi="Times New Roman" w:cs="Times New Roman"/>
          <w:sz w:val="24"/>
        </w:rPr>
      </w:pPr>
      <w:r w:rsidRPr="00AF7FC1">
        <w:rPr>
          <w:rFonts w:ascii="Times New Roman" w:hAnsi="Times New Roman" w:cs="Times New Roman"/>
          <w:sz w:val="24"/>
        </w:rPr>
        <w:t xml:space="preserve">Obci dňa 24.1.2024 prišla faktúra </w:t>
      </w:r>
      <w:r w:rsidR="00AF7FC1" w:rsidRPr="00AF7FC1">
        <w:rPr>
          <w:rFonts w:ascii="Times New Roman" w:hAnsi="Times New Roman" w:cs="Times New Roman"/>
          <w:sz w:val="24"/>
        </w:rPr>
        <w:t>vodné vo výške 3 804, 34 € za obdobie (7.10.2023-17.01.2024). Za vodu sa vybralo iba 1100 €. Starosta navrhol výstavbu technickej miestnosti, aby sa predišlo čiernym odberom vody</w:t>
      </w:r>
      <w:r w:rsidR="00AF7FC1">
        <w:rPr>
          <w:rFonts w:ascii="Times New Roman" w:hAnsi="Times New Roman" w:cs="Times New Roman"/>
          <w:sz w:val="24"/>
        </w:rPr>
        <w:t xml:space="preserve"> s čím poslanci OZ súhlasili. </w:t>
      </w:r>
    </w:p>
    <w:p w14:paraId="3D54E55A" w14:textId="6C67A78E" w:rsidR="00AF7FC1" w:rsidRDefault="00AF7FC1" w:rsidP="003C4D1A">
      <w:pPr>
        <w:pStyle w:val="Bezriadkovania"/>
        <w:ind w:left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AF7FC1">
        <w:rPr>
          <w:rFonts w:ascii="Times New Roman" w:hAnsi="Times New Roman" w:cs="Times New Roman"/>
          <w:b/>
          <w:sz w:val="24"/>
          <w:u w:val="single"/>
        </w:rPr>
        <w:t>7.3. Nedoplatky za nájom a vodu v obecných bytoch</w:t>
      </w:r>
    </w:p>
    <w:p w14:paraId="5F93E3CD" w14:textId="13FD310F" w:rsidR="00AF7FC1" w:rsidRPr="00AF7FC1" w:rsidRDefault="00AF7FC1" w:rsidP="003C4D1A">
      <w:pPr>
        <w:pStyle w:val="Bezriadkovania"/>
        <w:ind w:left="708"/>
        <w:jc w:val="both"/>
        <w:rPr>
          <w:rFonts w:ascii="Times New Roman" w:hAnsi="Times New Roman" w:cs="Times New Roman"/>
          <w:sz w:val="24"/>
        </w:rPr>
      </w:pPr>
      <w:r w:rsidRPr="00AF7FC1">
        <w:rPr>
          <w:rFonts w:ascii="Times New Roman" w:hAnsi="Times New Roman" w:cs="Times New Roman"/>
          <w:sz w:val="24"/>
        </w:rPr>
        <w:t xml:space="preserve">Starosta obce </w:t>
      </w:r>
      <w:r w:rsidR="00462919" w:rsidRPr="00AF7FC1">
        <w:rPr>
          <w:rFonts w:ascii="Times New Roman" w:hAnsi="Times New Roman" w:cs="Times New Roman"/>
          <w:sz w:val="24"/>
        </w:rPr>
        <w:t>oboznámil</w:t>
      </w:r>
      <w:r w:rsidRPr="00AF7FC1">
        <w:rPr>
          <w:rFonts w:ascii="Times New Roman" w:hAnsi="Times New Roman" w:cs="Times New Roman"/>
          <w:sz w:val="24"/>
        </w:rPr>
        <w:t xml:space="preserve"> poslancov OZ, že v obci máme neplatičov, ktorých dlh prevyšuje sumu 1000 €. OZ sa jednohlasne rozhodlo, že menovaným sa napíše upomienka a po neuhradení dlhu do 30 dní nech bude deložovaný. </w:t>
      </w:r>
    </w:p>
    <w:p w14:paraId="0C62B38F" w14:textId="112A03E4" w:rsidR="00903645" w:rsidRPr="00AF7FC1" w:rsidRDefault="00903645" w:rsidP="00AF7FC1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11EC1E13" w14:textId="2A4A6E1C" w:rsidR="00903645" w:rsidRDefault="00903645" w:rsidP="003074E0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046EEC49" w14:textId="77777777" w:rsidR="00903645" w:rsidRPr="003074E0" w:rsidRDefault="00903645" w:rsidP="003074E0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7AA9C4CE" w14:textId="77777777" w:rsidR="00903645" w:rsidRDefault="00903645" w:rsidP="0090364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Záver </w:t>
      </w:r>
    </w:p>
    <w:p w14:paraId="5DF01A14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56C39" w14:textId="77777777" w:rsidR="00903645" w:rsidRPr="00435530" w:rsidRDefault="00903645" w:rsidP="0090364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 w:rsidRPr="00052211">
        <w:rPr>
          <w:rFonts w:ascii="Times New Roman" w:hAnsi="Times New Roman" w:cs="Times New Roman"/>
          <w:sz w:val="24"/>
          <w:szCs w:val="24"/>
        </w:rPr>
        <w:t xml:space="preserve">V závere starosta obce poďakoval prítomným </w:t>
      </w:r>
      <w:r>
        <w:rPr>
          <w:rFonts w:ascii="Times New Roman" w:hAnsi="Times New Roman" w:cs="Times New Roman"/>
          <w:sz w:val="24"/>
          <w:szCs w:val="24"/>
        </w:rPr>
        <w:t xml:space="preserve">poslancom </w:t>
      </w:r>
      <w:r w:rsidRPr="00052211">
        <w:rPr>
          <w:rFonts w:ascii="Times New Roman" w:hAnsi="Times New Roman" w:cs="Times New Roman"/>
          <w:sz w:val="24"/>
          <w:szCs w:val="24"/>
        </w:rPr>
        <w:t>za účasť</w:t>
      </w:r>
      <w:r>
        <w:rPr>
          <w:rFonts w:ascii="Times New Roman" w:hAnsi="Times New Roman" w:cs="Times New Roman"/>
          <w:sz w:val="24"/>
          <w:szCs w:val="24"/>
        </w:rPr>
        <w:t xml:space="preserve"> na zasadnutí. Nakoľko boli prerokované všetky body zasadnutia poďakoval ešte raz všetkým za účasť a zasadnutie ukončil.</w:t>
      </w:r>
    </w:p>
    <w:p w14:paraId="39B5A352" w14:textId="77777777" w:rsidR="00903645" w:rsidRPr="00601336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84747C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19844C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99255D6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DF3D5A6" w14:textId="64946CC5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 xml:space="preserve">V Tuhrine dňa </w:t>
      </w:r>
      <w:r w:rsidR="00AF7FC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FC1">
        <w:rPr>
          <w:rFonts w:ascii="Times New Roman" w:hAnsi="Times New Roman" w:cs="Times New Roman"/>
          <w:sz w:val="24"/>
          <w:szCs w:val="24"/>
        </w:rPr>
        <w:t>februára</w:t>
      </w:r>
      <w:r w:rsidRPr="00D619DC">
        <w:rPr>
          <w:rFonts w:ascii="Times New Roman" w:hAnsi="Times New Roman" w:cs="Times New Roman"/>
          <w:sz w:val="24"/>
          <w:szCs w:val="24"/>
        </w:rPr>
        <w:t xml:space="preserve"> 202</w:t>
      </w:r>
      <w:r w:rsidR="00AF7FC1">
        <w:rPr>
          <w:rFonts w:ascii="Times New Roman" w:hAnsi="Times New Roman" w:cs="Times New Roman"/>
          <w:sz w:val="24"/>
          <w:szCs w:val="24"/>
        </w:rPr>
        <w:t>4</w:t>
      </w:r>
    </w:p>
    <w:p w14:paraId="4E581227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3BD3BA2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DA58B0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2D412FE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>Starosta obce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61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5CE966A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112E57D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CFAAC5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7B1C3AB" w14:textId="77777777" w:rsidR="00903645" w:rsidRPr="00D619DC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9AC626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4880E8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9861C8C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849D5">
        <w:rPr>
          <w:rFonts w:ascii="Times New Roman" w:hAnsi="Times New Roman" w:cs="Times New Roman"/>
          <w:sz w:val="24"/>
          <w:szCs w:val="24"/>
        </w:rPr>
        <w:t xml:space="preserve">Zapisovateľ: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49D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6901FFA6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9668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9E75F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1FB442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531EA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CC6609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5373079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EF6042A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3F0AABD4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76EC58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C970AF2" w14:textId="77777777" w:rsidR="00903645" w:rsidRPr="00903645" w:rsidRDefault="00903645" w:rsidP="003B51B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E9A734" w14:textId="77777777" w:rsidR="00601336" w:rsidRPr="00903645" w:rsidRDefault="0060133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3C0423F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BA21E3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B2C161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B17DC2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324BF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98864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63A22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5004D5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D663C7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BEA1A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4BA39B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D076C1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68B748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4C37F2" w14:textId="77777777" w:rsidR="000504F6" w:rsidRPr="000B2779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B233E" w14:textId="77777777" w:rsidR="00063F9F" w:rsidRDefault="00063F9F" w:rsidP="00063F9F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53E3AD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C52621A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F8A5BD5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9F1D2CB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D309C79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CEFA8EC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1302CD7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0351C68" w14:textId="77777777" w:rsidR="001176BF" w:rsidRDefault="001176BF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08F95A0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F6BFEC8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D1A0876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AC36D7C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64C06FD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DB4E2B0" w14:textId="77777777" w:rsidR="008E40E3" w:rsidRPr="008D77F2" w:rsidRDefault="008E40E3" w:rsidP="008E40E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95E6A" w14:textId="77777777" w:rsidR="008E40E3" w:rsidRPr="00223039" w:rsidRDefault="008E40E3" w:rsidP="008E40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E40E3" w:rsidRPr="00223039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7D22"/>
    <w:multiLevelType w:val="hybridMultilevel"/>
    <w:tmpl w:val="74FA3FD8"/>
    <w:lvl w:ilvl="0" w:tplc="CF36CA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6"/>
  </w:num>
  <w:num w:numId="11">
    <w:abstractNumId w:val="1"/>
  </w:num>
  <w:num w:numId="12">
    <w:abstractNumId w:val="8"/>
  </w:num>
  <w:num w:numId="13">
    <w:abstractNumId w:val="11"/>
  </w:num>
  <w:num w:numId="14">
    <w:abstractNumId w:val="12"/>
  </w:num>
  <w:num w:numId="15">
    <w:abstractNumId w:val="0"/>
  </w:num>
  <w:num w:numId="16">
    <w:abstractNumId w:val="6"/>
  </w:num>
  <w:num w:numId="17">
    <w:abstractNumId w:val="2"/>
  </w:num>
  <w:num w:numId="18">
    <w:abstractNumId w:val="3"/>
  </w:num>
  <w:num w:numId="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2236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416B"/>
    <w:rsid w:val="00112C16"/>
    <w:rsid w:val="00113D2D"/>
    <w:rsid w:val="001176BF"/>
    <w:rsid w:val="00117C4D"/>
    <w:rsid w:val="0012262D"/>
    <w:rsid w:val="001301C8"/>
    <w:rsid w:val="0013153E"/>
    <w:rsid w:val="0013694B"/>
    <w:rsid w:val="00145765"/>
    <w:rsid w:val="0015037D"/>
    <w:rsid w:val="0015362D"/>
    <w:rsid w:val="001565F2"/>
    <w:rsid w:val="00157A7B"/>
    <w:rsid w:val="00161D40"/>
    <w:rsid w:val="00162DE3"/>
    <w:rsid w:val="001645CB"/>
    <w:rsid w:val="001714F9"/>
    <w:rsid w:val="0018494A"/>
    <w:rsid w:val="001849D5"/>
    <w:rsid w:val="001952AB"/>
    <w:rsid w:val="00196A63"/>
    <w:rsid w:val="00197F5A"/>
    <w:rsid w:val="001A2090"/>
    <w:rsid w:val="001B5DF9"/>
    <w:rsid w:val="001C05A6"/>
    <w:rsid w:val="001C6F91"/>
    <w:rsid w:val="001E79C1"/>
    <w:rsid w:val="001F6DD8"/>
    <w:rsid w:val="001F7F57"/>
    <w:rsid w:val="00203E8C"/>
    <w:rsid w:val="00204EA1"/>
    <w:rsid w:val="00206E2B"/>
    <w:rsid w:val="00211535"/>
    <w:rsid w:val="00220158"/>
    <w:rsid w:val="00223039"/>
    <w:rsid w:val="002349B4"/>
    <w:rsid w:val="002369A9"/>
    <w:rsid w:val="002372BB"/>
    <w:rsid w:val="0023779E"/>
    <w:rsid w:val="00246899"/>
    <w:rsid w:val="00246E78"/>
    <w:rsid w:val="00250395"/>
    <w:rsid w:val="00250A76"/>
    <w:rsid w:val="00254590"/>
    <w:rsid w:val="00257113"/>
    <w:rsid w:val="00260594"/>
    <w:rsid w:val="002851CA"/>
    <w:rsid w:val="00295703"/>
    <w:rsid w:val="002A2A81"/>
    <w:rsid w:val="002A6F17"/>
    <w:rsid w:val="002B08C0"/>
    <w:rsid w:val="002B1812"/>
    <w:rsid w:val="002C4C1F"/>
    <w:rsid w:val="002D5554"/>
    <w:rsid w:val="002E2743"/>
    <w:rsid w:val="002E5435"/>
    <w:rsid w:val="0030069B"/>
    <w:rsid w:val="00301605"/>
    <w:rsid w:val="00303230"/>
    <w:rsid w:val="003074E0"/>
    <w:rsid w:val="0031182F"/>
    <w:rsid w:val="0031435F"/>
    <w:rsid w:val="0032457B"/>
    <w:rsid w:val="003261EE"/>
    <w:rsid w:val="003262F2"/>
    <w:rsid w:val="00327125"/>
    <w:rsid w:val="003457E4"/>
    <w:rsid w:val="003458AA"/>
    <w:rsid w:val="0035190E"/>
    <w:rsid w:val="00355DBE"/>
    <w:rsid w:val="00363D78"/>
    <w:rsid w:val="003666E4"/>
    <w:rsid w:val="003722FA"/>
    <w:rsid w:val="00373E9D"/>
    <w:rsid w:val="0037662C"/>
    <w:rsid w:val="00390907"/>
    <w:rsid w:val="00392E3C"/>
    <w:rsid w:val="003A67B0"/>
    <w:rsid w:val="003B00F2"/>
    <w:rsid w:val="003B51B3"/>
    <w:rsid w:val="003C0BF2"/>
    <w:rsid w:val="003C2065"/>
    <w:rsid w:val="003C39ED"/>
    <w:rsid w:val="003C4D1A"/>
    <w:rsid w:val="003C7C85"/>
    <w:rsid w:val="003C7ED9"/>
    <w:rsid w:val="003D244C"/>
    <w:rsid w:val="003D4B7B"/>
    <w:rsid w:val="003D7BAC"/>
    <w:rsid w:val="003E0925"/>
    <w:rsid w:val="003F1E3D"/>
    <w:rsid w:val="003F2AE3"/>
    <w:rsid w:val="003F4C8D"/>
    <w:rsid w:val="00400FFD"/>
    <w:rsid w:val="00417D3D"/>
    <w:rsid w:val="0042603A"/>
    <w:rsid w:val="00433E0D"/>
    <w:rsid w:val="00435530"/>
    <w:rsid w:val="004409C8"/>
    <w:rsid w:val="0044622D"/>
    <w:rsid w:val="004502CB"/>
    <w:rsid w:val="00462919"/>
    <w:rsid w:val="004665AF"/>
    <w:rsid w:val="00473035"/>
    <w:rsid w:val="0048021C"/>
    <w:rsid w:val="00481030"/>
    <w:rsid w:val="00481D2E"/>
    <w:rsid w:val="0048555A"/>
    <w:rsid w:val="0049447E"/>
    <w:rsid w:val="00495D71"/>
    <w:rsid w:val="004A2193"/>
    <w:rsid w:val="004A79AF"/>
    <w:rsid w:val="004C0270"/>
    <w:rsid w:val="004C33F6"/>
    <w:rsid w:val="004C3C03"/>
    <w:rsid w:val="004C6BD1"/>
    <w:rsid w:val="004D1922"/>
    <w:rsid w:val="004D1A11"/>
    <w:rsid w:val="004D63D0"/>
    <w:rsid w:val="004D799F"/>
    <w:rsid w:val="004E0D7A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47E2"/>
    <w:rsid w:val="005560D1"/>
    <w:rsid w:val="005621D5"/>
    <w:rsid w:val="005649F7"/>
    <w:rsid w:val="00564B73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51"/>
    <w:rsid w:val="00611F87"/>
    <w:rsid w:val="00612E53"/>
    <w:rsid w:val="00616A4A"/>
    <w:rsid w:val="00630548"/>
    <w:rsid w:val="00634D9E"/>
    <w:rsid w:val="00642208"/>
    <w:rsid w:val="006440C9"/>
    <w:rsid w:val="006537B2"/>
    <w:rsid w:val="00655CCD"/>
    <w:rsid w:val="0066709C"/>
    <w:rsid w:val="00667DD5"/>
    <w:rsid w:val="00671653"/>
    <w:rsid w:val="00672161"/>
    <w:rsid w:val="00672BDD"/>
    <w:rsid w:val="00680FB8"/>
    <w:rsid w:val="006904E7"/>
    <w:rsid w:val="006B0498"/>
    <w:rsid w:val="006B2378"/>
    <w:rsid w:val="006B33B9"/>
    <w:rsid w:val="006C48E7"/>
    <w:rsid w:val="006C5E36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6F7EB8"/>
    <w:rsid w:val="007052E6"/>
    <w:rsid w:val="0071056D"/>
    <w:rsid w:val="007166F6"/>
    <w:rsid w:val="0072067B"/>
    <w:rsid w:val="00741FDB"/>
    <w:rsid w:val="00743758"/>
    <w:rsid w:val="00754AA8"/>
    <w:rsid w:val="0075632C"/>
    <w:rsid w:val="0075739A"/>
    <w:rsid w:val="00763363"/>
    <w:rsid w:val="007635BE"/>
    <w:rsid w:val="007669D9"/>
    <w:rsid w:val="007747DC"/>
    <w:rsid w:val="00782BD1"/>
    <w:rsid w:val="007849B2"/>
    <w:rsid w:val="00795974"/>
    <w:rsid w:val="007A1573"/>
    <w:rsid w:val="007A6581"/>
    <w:rsid w:val="007A7135"/>
    <w:rsid w:val="007B6333"/>
    <w:rsid w:val="007D3E76"/>
    <w:rsid w:val="007D493A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01A7"/>
    <w:rsid w:val="00854442"/>
    <w:rsid w:val="00855544"/>
    <w:rsid w:val="00857C24"/>
    <w:rsid w:val="00857C40"/>
    <w:rsid w:val="00872F1B"/>
    <w:rsid w:val="00874216"/>
    <w:rsid w:val="008831AC"/>
    <w:rsid w:val="00886423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1F34"/>
    <w:rsid w:val="008D33E6"/>
    <w:rsid w:val="008D3591"/>
    <w:rsid w:val="008D6D83"/>
    <w:rsid w:val="008D77F2"/>
    <w:rsid w:val="008E3677"/>
    <w:rsid w:val="008E40E3"/>
    <w:rsid w:val="008E6651"/>
    <w:rsid w:val="00903645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8589C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D7844"/>
    <w:rsid w:val="009F20ED"/>
    <w:rsid w:val="009F40FE"/>
    <w:rsid w:val="00A03187"/>
    <w:rsid w:val="00A11BF8"/>
    <w:rsid w:val="00A13B73"/>
    <w:rsid w:val="00A15BEA"/>
    <w:rsid w:val="00A163BD"/>
    <w:rsid w:val="00A278D8"/>
    <w:rsid w:val="00A375EA"/>
    <w:rsid w:val="00A448F7"/>
    <w:rsid w:val="00A57BB5"/>
    <w:rsid w:val="00A600DE"/>
    <w:rsid w:val="00A65643"/>
    <w:rsid w:val="00A7481C"/>
    <w:rsid w:val="00A83DDD"/>
    <w:rsid w:val="00AB00BF"/>
    <w:rsid w:val="00AB163C"/>
    <w:rsid w:val="00AD3B2D"/>
    <w:rsid w:val="00AE234C"/>
    <w:rsid w:val="00AF7FC1"/>
    <w:rsid w:val="00B00965"/>
    <w:rsid w:val="00B052CF"/>
    <w:rsid w:val="00B15AA2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0330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6D11"/>
    <w:rsid w:val="00BE162F"/>
    <w:rsid w:val="00BF5A96"/>
    <w:rsid w:val="00BF5C0B"/>
    <w:rsid w:val="00C12C16"/>
    <w:rsid w:val="00C15C17"/>
    <w:rsid w:val="00C24EA4"/>
    <w:rsid w:val="00C267F1"/>
    <w:rsid w:val="00C30437"/>
    <w:rsid w:val="00C368B3"/>
    <w:rsid w:val="00C42E7B"/>
    <w:rsid w:val="00C46005"/>
    <w:rsid w:val="00C61EBF"/>
    <w:rsid w:val="00C623B8"/>
    <w:rsid w:val="00C62946"/>
    <w:rsid w:val="00C64C4A"/>
    <w:rsid w:val="00C72381"/>
    <w:rsid w:val="00C82E03"/>
    <w:rsid w:val="00CA411D"/>
    <w:rsid w:val="00CB0EEB"/>
    <w:rsid w:val="00CB1A2C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7729"/>
    <w:rsid w:val="00D42519"/>
    <w:rsid w:val="00D44DDB"/>
    <w:rsid w:val="00D619DC"/>
    <w:rsid w:val="00D61A1B"/>
    <w:rsid w:val="00D6573C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DF725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656C8"/>
    <w:rsid w:val="00E765C6"/>
    <w:rsid w:val="00E85F4B"/>
    <w:rsid w:val="00E922F9"/>
    <w:rsid w:val="00E96D9A"/>
    <w:rsid w:val="00EA002E"/>
    <w:rsid w:val="00EA2BB3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25815"/>
    <w:rsid w:val="00F2746B"/>
    <w:rsid w:val="00F37945"/>
    <w:rsid w:val="00F42641"/>
    <w:rsid w:val="00F42687"/>
    <w:rsid w:val="00F47763"/>
    <w:rsid w:val="00F5377C"/>
    <w:rsid w:val="00F6597B"/>
    <w:rsid w:val="00F71D4D"/>
    <w:rsid w:val="00F91B0F"/>
    <w:rsid w:val="00FA0D81"/>
    <w:rsid w:val="00FA183A"/>
    <w:rsid w:val="00FA5F1C"/>
    <w:rsid w:val="00FB7437"/>
    <w:rsid w:val="00FC1BE2"/>
    <w:rsid w:val="00FC29EC"/>
    <w:rsid w:val="00FC76A2"/>
    <w:rsid w:val="00FD2BDA"/>
    <w:rsid w:val="00FD36A6"/>
    <w:rsid w:val="00FD4EB5"/>
    <w:rsid w:val="00FD5260"/>
    <w:rsid w:val="00FE025C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8BC5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0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4409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44C9-FCEA-449C-A3A0-5D91399C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174</cp:revision>
  <cp:lastPrinted>2024-02-09T14:44:00Z</cp:lastPrinted>
  <dcterms:created xsi:type="dcterms:W3CDTF">2021-08-03T12:06:00Z</dcterms:created>
  <dcterms:modified xsi:type="dcterms:W3CDTF">2024-02-09T14:44:00Z</dcterms:modified>
</cp:coreProperties>
</file>